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8E0AA" w14:textId="77777777" w:rsidR="00181E01" w:rsidRDefault="00181E01" w:rsidP="0053748E">
      <w:pPr>
        <w:jc w:val="center"/>
        <w:rPr>
          <w:spacing w:val="80"/>
          <w:sz w:val="28"/>
        </w:rPr>
      </w:pPr>
    </w:p>
    <w:tbl>
      <w:tblPr>
        <w:tblStyle w:val="TableGrid"/>
        <w:tblW w:w="915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50"/>
      </w:tblGrid>
      <w:tr w:rsidR="000110D9" w:rsidRPr="000110D9" w14:paraId="71DECD54" w14:textId="77777777" w:rsidTr="008440D2">
        <w:trPr>
          <w:cantSplit/>
          <w:trHeight w:hRule="exact" w:val="1530"/>
          <w:jc w:val="right"/>
        </w:trPr>
        <w:tc>
          <w:tcPr>
            <w:tcW w:w="9150" w:type="dxa"/>
            <w:shd w:val="clear" w:color="auto" w:fill="8DC63F"/>
            <w:vAlign w:val="center"/>
          </w:tcPr>
          <w:p w14:paraId="682FA968" w14:textId="77777777" w:rsidR="00BD221D" w:rsidRPr="008440D2" w:rsidRDefault="00207EAA" w:rsidP="00BD221D">
            <w:pPr>
              <w:pStyle w:val="eTRMHeading1"/>
              <w:jc w:val="center"/>
              <w:rPr>
                <w:sz w:val="28"/>
              </w:rPr>
            </w:pPr>
            <w:r w:rsidRPr="008440D2">
              <w:rPr>
                <w:sz w:val="28"/>
              </w:rPr>
              <w:t>Refrigeration</w:t>
            </w:r>
          </w:p>
          <w:p w14:paraId="0782D7D9" w14:textId="77777777" w:rsidR="00802F54" w:rsidRPr="008440D2" w:rsidRDefault="000E5352" w:rsidP="00D225DD">
            <w:pPr>
              <w:pStyle w:val="eTRMHeading2"/>
              <w:rPr>
                <w:color w:val="FFFFFF" w:themeColor="background1"/>
                <w:spacing w:val="60"/>
                <w:sz w:val="32"/>
              </w:rPr>
            </w:pPr>
            <w:r w:rsidRPr="008440D2">
              <w:rPr>
                <w:color w:val="FFFFFF" w:themeColor="background1"/>
                <w:spacing w:val="60"/>
                <w:sz w:val="32"/>
              </w:rPr>
              <w:t>hIGH eFFICIENCY REFRIGERATED DISPLAY CASES</w:t>
            </w:r>
          </w:p>
          <w:p w14:paraId="419F43DF" w14:textId="6B7FE2AD" w:rsidR="00D225DD" w:rsidRPr="000110D9" w:rsidRDefault="00AB43E5" w:rsidP="008440D2">
            <w:pPr>
              <w:pStyle w:val="eTRMHeading2"/>
              <w:rPr>
                <w:color w:val="FFFFFF" w:themeColor="background1"/>
              </w:rPr>
            </w:pPr>
            <w:r w:rsidRPr="00563152">
              <w:rPr>
                <w:color w:val="FFFFFF" w:themeColor="background1"/>
                <w:spacing w:val="0"/>
                <w:sz w:val="28"/>
              </w:rPr>
              <w:t>SW</w:t>
            </w:r>
            <w:r>
              <w:rPr>
                <w:color w:val="FFFFFF" w:themeColor="background1"/>
                <w:spacing w:val="0"/>
                <w:sz w:val="28"/>
              </w:rPr>
              <w:t>cr</w:t>
            </w:r>
            <w:r w:rsidRPr="00563152">
              <w:rPr>
                <w:color w:val="FFFFFF" w:themeColor="background1"/>
                <w:spacing w:val="0"/>
                <w:sz w:val="28"/>
              </w:rPr>
              <w:t>01</w:t>
            </w:r>
            <w:r>
              <w:rPr>
                <w:color w:val="FFFFFF" w:themeColor="background1"/>
                <w:spacing w:val="0"/>
                <w:sz w:val="28"/>
              </w:rPr>
              <w:t>4</w:t>
            </w:r>
            <w:r w:rsidRPr="00563152">
              <w:rPr>
                <w:color w:val="FFFFFF" w:themeColor="background1"/>
                <w:spacing w:val="0"/>
                <w:sz w:val="28"/>
              </w:rPr>
              <w:t>-</w:t>
            </w:r>
            <w:r w:rsidR="00F65EB6" w:rsidRPr="00563152">
              <w:rPr>
                <w:color w:val="FFFFFF" w:themeColor="background1"/>
                <w:spacing w:val="0"/>
                <w:sz w:val="28"/>
              </w:rPr>
              <w:t>0</w:t>
            </w:r>
            <w:r w:rsidR="00F65EB6">
              <w:rPr>
                <w:color w:val="FFFFFF" w:themeColor="background1"/>
                <w:spacing w:val="0"/>
                <w:sz w:val="28"/>
              </w:rPr>
              <w:t>2</w:t>
            </w:r>
          </w:p>
        </w:tc>
      </w:tr>
    </w:tbl>
    <w:p w14:paraId="0B780229" w14:textId="77777777" w:rsidR="00BD221D" w:rsidRDefault="00BD221D" w:rsidP="00BD221D"/>
    <w:p w14:paraId="15F78F14" w14:textId="77777777" w:rsidR="00D12B8C" w:rsidRPr="00E14349" w:rsidRDefault="007E1F66" w:rsidP="0053748E">
      <w:pPr>
        <w:jc w:val="center"/>
        <w:rPr>
          <w:spacing w:val="80"/>
          <w:sz w:val="28"/>
        </w:rPr>
      </w:pPr>
      <w:r w:rsidRPr="00E14349">
        <w:rPr>
          <w:spacing w:val="80"/>
          <w:sz w:val="28"/>
        </w:rPr>
        <w:t>CONTENTS</w:t>
      </w:r>
    </w:p>
    <w:p w14:paraId="7A552144" w14:textId="7CEFADE1" w:rsidR="00136444" w:rsidRDefault="004E6582">
      <w:pPr>
        <w:pStyle w:val="TOC3"/>
        <w:rPr>
          <w:rFonts w:asciiTheme="minorHAnsi" w:hAnsiTheme="minorHAnsi"/>
          <w:noProof/>
          <w:szCs w:val="22"/>
        </w:rPr>
      </w:pPr>
      <w:r>
        <w:fldChar w:fldCharType="begin"/>
      </w:r>
      <w:r w:rsidR="001C6C9B">
        <w:instrText xml:space="preserve"> TOC \t "eTRM Heading 3,3" </w:instrText>
      </w:r>
      <w:r>
        <w:fldChar w:fldCharType="separate"/>
      </w:r>
      <w:r w:rsidR="00136444">
        <w:rPr>
          <w:noProof/>
        </w:rPr>
        <w:t>Measure Name</w:t>
      </w:r>
      <w:r w:rsidR="00136444">
        <w:rPr>
          <w:noProof/>
        </w:rPr>
        <w:tab/>
      </w:r>
      <w:r w:rsidR="00136444">
        <w:rPr>
          <w:noProof/>
        </w:rPr>
        <w:fldChar w:fldCharType="begin"/>
      </w:r>
      <w:r w:rsidR="00136444">
        <w:rPr>
          <w:noProof/>
        </w:rPr>
        <w:instrText xml:space="preserve"> PAGEREF _Toc56591397 \h </w:instrText>
      </w:r>
      <w:r w:rsidR="00136444">
        <w:rPr>
          <w:noProof/>
        </w:rPr>
      </w:r>
      <w:r w:rsidR="00136444">
        <w:rPr>
          <w:noProof/>
        </w:rPr>
        <w:fldChar w:fldCharType="separate"/>
      </w:r>
      <w:r w:rsidR="00136444">
        <w:rPr>
          <w:noProof/>
        </w:rPr>
        <w:t>2</w:t>
      </w:r>
      <w:r w:rsidR="00136444">
        <w:rPr>
          <w:noProof/>
        </w:rPr>
        <w:fldChar w:fldCharType="end"/>
      </w:r>
    </w:p>
    <w:p w14:paraId="2EEA1900" w14:textId="68809DBC" w:rsidR="00136444" w:rsidRDefault="00136444">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_Toc56591398 \h </w:instrText>
      </w:r>
      <w:r>
        <w:rPr>
          <w:noProof/>
        </w:rPr>
      </w:r>
      <w:r>
        <w:rPr>
          <w:noProof/>
        </w:rPr>
        <w:fldChar w:fldCharType="separate"/>
      </w:r>
      <w:r>
        <w:rPr>
          <w:noProof/>
        </w:rPr>
        <w:t>2</w:t>
      </w:r>
      <w:r>
        <w:rPr>
          <w:noProof/>
        </w:rPr>
        <w:fldChar w:fldCharType="end"/>
      </w:r>
    </w:p>
    <w:p w14:paraId="65CDF308" w14:textId="7610DB3C" w:rsidR="00136444" w:rsidRDefault="00136444">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_Toc56591399 \h </w:instrText>
      </w:r>
      <w:r>
        <w:rPr>
          <w:noProof/>
        </w:rPr>
      </w:r>
      <w:r>
        <w:rPr>
          <w:noProof/>
        </w:rPr>
        <w:fldChar w:fldCharType="separate"/>
      </w:r>
      <w:r>
        <w:rPr>
          <w:noProof/>
        </w:rPr>
        <w:t>2</w:t>
      </w:r>
      <w:r>
        <w:rPr>
          <w:noProof/>
        </w:rPr>
        <w:fldChar w:fldCharType="end"/>
      </w:r>
    </w:p>
    <w:p w14:paraId="28F17889" w14:textId="19D27D48" w:rsidR="00136444" w:rsidRDefault="00136444">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_Toc56591400 \h </w:instrText>
      </w:r>
      <w:r>
        <w:rPr>
          <w:noProof/>
        </w:rPr>
      </w:r>
      <w:r>
        <w:rPr>
          <w:noProof/>
        </w:rPr>
        <w:fldChar w:fldCharType="separate"/>
      </w:r>
      <w:r>
        <w:rPr>
          <w:noProof/>
        </w:rPr>
        <w:t>4</w:t>
      </w:r>
      <w:r>
        <w:rPr>
          <w:noProof/>
        </w:rPr>
        <w:fldChar w:fldCharType="end"/>
      </w:r>
    </w:p>
    <w:p w14:paraId="52A9F88F" w14:textId="7F7FBF7F" w:rsidR="00136444" w:rsidRDefault="00136444">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_Toc56591401 \h </w:instrText>
      </w:r>
      <w:r>
        <w:rPr>
          <w:noProof/>
        </w:rPr>
      </w:r>
      <w:r>
        <w:rPr>
          <w:noProof/>
        </w:rPr>
        <w:fldChar w:fldCharType="separate"/>
      </w:r>
      <w:r>
        <w:rPr>
          <w:noProof/>
        </w:rPr>
        <w:t>5</w:t>
      </w:r>
      <w:r>
        <w:rPr>
          <w:noProof/>
        </w:rPr>
        <w:fldChar w:fldCharType="end"/>
      </w:r>
    </w:p>
    <w:p w14:paraId="5DB16927" w14:textId="6DACD31D" w:rsidR="00136444" w:rsidRDefault="00136444">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_Toc56591402 \h </w:instrText>
      </w:r>
      <w:r>
        <w:rPr>
          <w:noProof/>
        </w:rPr>
      </w:r>
      <w:r>
        <w:rPr>
          <w:noProof/>
        </w:rPr>
        <w:fldChar w:fldCharType="separate"/>
      </w:r>
      <w:r>
        <w:rPr>
          <w:noProof/>
        </w:rPr>
        <w:t>5</w:t>
      </w:r>
      <w:r>
        <w:rPr>
          <w:noProof/>
        </w:rPr>
        <w:fldChar w:fldCharType="end"/>
      </w:r>
    </w:p>
    <w:p w14:paraId="7A1BE9E3" w14:textId="70F4586B" w:rsidR="00136444" w:rsidRDefault="00136444">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_Toc56591403 \h </w:instrText>
      </w:r>
      <w:r>
        <w:rPr>
          <w:noProof/>
        </w:rPr>
      </w:r>
      <w:r>
        <w:rPr>
          <w:noProof/>
        </w:rPr>
        <w:fldChar w:fldCharType="separate"/>
      </w:r>
      <w:r>
        <w:rPr>
          <w:noProof/>
        </w:rPr>
        <w:t>7</w:t>
      </w:r>
      <w:r>
        <w:rPr>
          <w:noProof/>
        </w:rPr>
        <w:fldChar w:fldCharType="end"/>
      </w:r>
    </w:p>
    <w:p w14:paraId="1BE898D0" w14:textId="42046306" w:rsidR="00136444" w:rsidRDefault="00136444">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_Toc56591404 \h </w:instrText>
      </w:r>
      <w:r>
        <w:rPr>
          <w:noProof/>
        </w:rPr>
      </w:r>
      <w:r>
        <w:rPr>
          <w:noProof/>
        </w:rPr>
        <w:fldChar w:fldCharType="separate"/>
      </w:r>
      <w:r>
        <w:rPr>
          <w:noProof/>
        </w:rPr>
        <w:t>7</w:t>
      </w:r>
      <w:r>
        <w:rPr>
          <w:noProof/>
        </w:rPr>
        <w:fldChar w:fldCharType="end"/>
      </w:r>
    </w:p>
    <w:p w14:paraId="453B140B" w14:textId="228D7C6E" w:rsidR="00136444" w:rsidRDefault="00136444">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_Toc56591405 \h </w:instrText>
      </w:r>
      <w:r>
        <w:rPr>
          <w:noProof/>
        </w:rPr>
      </w:r>
      <w:r>
        <w:rPr>
          <w:noProof/>
        </w:rPr>
        <w:fldChar w:fldCharType="separate"/>
      </w:r>
      <w:r>
        <w:rPr>
          <w:noProof/>
        </w:rPr>
        <w:t>9</w:t>
      </w:r>
      <w:r>
        <w:rPr>
          <w:noProof/>
        </w:rPr>
        <w:fldChar w:fldCharType="end"/>
      </w:r>
    </w:p>
    <w:p w14:paraId="067CB17B" w14:textId="0C5884E5" w:rsidR="00136444" w:rsidRDefault="00136444">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_Toc56591406 \h </w:instrText>
      </w:r>
      <w:r>
        <w:rPr>
          <w:noProof/>
        </w:rPr>
      </w:r>
      <w:r>
        <w:rPr>
          <w:noProof/>
        </w:rPr>
        <w:fldChar w:fldCharType="separate"/>
      </w:r>
      <w:r>
        <w:rPr>
          <w:noProof/>
        </w:rPr>
        <w:t>9</w:t>
      </w:r>
      <w:r>
        <w:rPr>
          <w:noProof/>
        </w:rPr>
        <w:fldChar w:fldCharType="end"/>
      </w:r>
    </w:p>
    <w:p w14:paraId="78B17A19" w14:textId="0EE1FE7C" w:rsidR="00136444" w:rsidRDefault="00136444">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_Toc56591407 \h </w:instrText>
      </w:r>
      <w:r>
        <w:rPr>
          <w:noProof/>
        </w:rPr>
      </w:r>
      <w:r>
        <w:rPr>
          <w:noProof/>
        </w:rPr>
        <w:fldChar w:fldCharType="separate"/>
      </w:r>
      <w:r>
        <w:rPr>
          <w:noProof/>
        </w:rPr>
        <w:t>9</w:t>
      </w:r>
      <w:r>
        <w:rPr>
          <w:noProof/>
        </w:rPr>
        <w:fldChar w:fldCharType="end"/>
      </w:r>
    </w:p>
    <w:p w14:paraId="4BA5F6AF" w14:textId="14AC74A8" w:rsidR="00136444" w:rsidRDefault="00136444">
      <w:pPr>
        <w:pStyle w:val="TOC3"/>
        <w:rPr>
          <w:rFonts w:asciiTheme="minorHAnsi" w:hAnsiTheme="minorHAnsi"/>
          <w:noProof/>
          <w:szCs w:val="22"/>
        </w:rPr>
      </w:pPr>
      <w:r>
        <w:rPr>
          <w:noProof/>
        </w:rPr>
        <w:t>Electric Savings (</w:t>
      </w:r>
      <w:r w:rsidRPr="00B223BC">
        <w:rPr>
          <w:noProof/>
        </w:rPr>
        <w:t>kWh</w:t>
      </w:r>
      <w:r>
        <w:rPr>
          <w:noProof/>
        </w:rPr>
        <w:t>)</w:t>
      </w:r>
      <w:r>
        <w:rPr>
          <w:noProof/>
        </w:rPr>
        <w:tab/>
      </w:r>
      <w:r>
        <w:rPr>
          <w:noProof/>
        </w:rPr>
        <w:fldChar w:fldCharType="begin"/>
      </w:r>
      <w:r>
        <w:rPr>
          <w:noProof/>
        </w:rPr>
        <w:instrText xml:space="preserve"> PAGEREF _Toc56591408 \h </w:instrText>
      </w:r>
      <w:r>
        <w:rPr>
          <w:noProof/>
        </w:rPr>
      </w:r>
      <w:r>
        <w:rPr>
          <w:noProof/>
        </w:rPr>
        <w:fldChar w:fldCharType="separate"/>
      </w:r>
      <w:r>
        <w:rPr>
          <w:noProof/>
        </w:rPr>
        <w:t>10</w:t>
      </w:r>
      <w:r>
        <w:rPr>
          <w:noProof/>
        </w:rPr>
        <w:fldChar w:fldCharType="end"/>
      </w:r>
    </w:p>
    <w:p w14:paraId="38F57D1A" w14:textId="3A6588B9" w:rsidR="00136444" w:rsidRDefault="00136444">
      <w:pPr>
        <w:pStyle w:val="TOC3"/>
        <w:rPr>
          <w:rFonts w:asciiTheme="minorHAnsi" w:hAnsiTheme="minorHAnsi"/>
          <w:noProof/>
          <w:szCs w:val="22"/>
        </w:rPr>
      </w:pPr>
      <w:r>
        <w:rPr>
          <w:noProof/>
        </w:rPr>
        <w:t>Peak Electric Demand Reduction (</w:t>
      </w:r>
      <w:r w:rsidRPr="00B223BC">
        <w:rPr>
          <w:noProof/>
        </w:rPr>
        <w:t>kW</w:t>
      </w:r>
      <w:r>
        <w:rPr>
          <w:noProof/>
        </w:rPr>
        <w:t>)</w:t>
      </w:r>
      <w:r>
        <w:rPr>
          <w:noProof/>
        </w:rPr>
        <w:tab/>
      </w:r>
      <w:r>
        <w:rPr>
          <w:noProof/>
        </w:rPr>
        <w:fldChar w:fldCharType="begin"/>
      </w:r>
      <w:r>
        <w:rPr>
          <w:noProof/>
        </w:rPr>
        <w:instrText xml:space="preserve"> PAGEREF _Toc56591409 \h </w:instrText>
      </w:r>
      <w:r>
        <w:rPr>
          <w:noProof/>
        </w:rPr>
      </w:r>
      <w:r>
        <w:rPr>
          <w:noProof/>
        </w:rPr>
        <w:fldChar w:fldCharType="separate"/>
      </w:r>
      <w:r>
        <w:rPr>
          <w:noProof/>
        </w:rPr>
        <w:t>11</w:t>
      </w:r>
      <w:r>
        <w:rPr>
          <w:noProof/>
        </w:rPr>
        <w:fldChar w:fldCharType="end"/>
      </w:r>
    </w:p>
    <w:p w14:paraId="3CCD2D01" w14:textId="56C76712" w:rsidR="00136444" w:rsidRDefault="00136444">
      <w:pPr>
        <w:pStyle w:val="TOC3"/>
        <w:rPr>
          <w:rFonts w:asciiTheme="minorHAnsi" w:hAnsiTheme="minorHAnsi"/>
          <w:noProof/>
          <w:szCs w:val="22"/>
        </w:rPr>
      </w:pPr>
      <w:r>
        <w:rPr>
          <w:noProof/>
        </w:rPr>
        <w:t>Gas Savings (</w:t>
      </w:r>
      <w:r w:rsidRPr="00B223BC">
        <w:rPr>
          <w:noProof/>
        </w:rPr>
        <w:t>Therms</w:t>
      </w:r>
      <w:r>
        <w:rPr>
          <w:noProof/>
        </w:rPr>
        <w:t>)</w:t>
      </w:r>
      <w:r>
        <w:rPr>
          <w:noProof/>
        </w:rPr>
        <w:tab/>
      </w:r>
      <w:r>
        <w:rPr>
          <w:noProof/>
        </w:rPr>
        <w:fldChar w:fldCharType="begin"/>
      </w:r>
      <w:r>
        <w:rPr>
          <w:noProof/>
        </w:rPr>
        <w:instrText xml:space="preserve"> PAGEREF _Toc56591410 \h </w:instrText>
      </w:r>
      <w:r>
        <w:rPr>
          <w:noProof/>
        </w:rPr>
      </w:r>
      <w:r>
        <w:rPr>
          <w:noProof/>
        </w:rPr>
        <w:fldChar w:fldCharType="separate"/>
      </w:r>
      <w:r>
        <w:rPr>
          <w:noProof/>
        </w:rPr>
        <w:t>12</w:t>
      </w:r>
      <w:r>
        <w:rPr>
          <w:noProof/>
        </w:rPr>
        <w:fldChar w:fldCharType="end"/>
      </w:r>
    </w:p>
    <w:p w14:paraId="2644620C" w14:textId="042640E8" w:rsidR="00136444" w:rsidRDefault="00136444">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_Toc56591411 \h </w:instrText>
      </w:r>
      <w:r>
        <w:rPr>
          <w:noProof/>
        </w:rPr>
      </w:r>
      <w:r>
        <w:rPr>
          <w:noProof/>
        </w:rPr>
        <w:fldChar w:fldCharType="separate"/>
      </w:r>
      <w:r>
        <w:rPr>
          <w:noProof/>
        </w:rPr>
        <w:t>12</w:t>
      </w:r>
      <w:r>
        <w:rPr>
          <w:noProof/>
        </w:rPr>
        <w:fldChar w:fldCharType="end"/>
      </w:r>
    </w:p>
    <w:p w14:paraId="2872224E" w14:textId="7867AC71" w:rsidR="00136444" w:rsidRDefault="00136444">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_Toc56591412 \h </w:instrText>
      </w:r>
      <w:r>
        <w:rPr>
          <w:noProof/>
        </w:rPr>
      </w:r>
      <w:r>
        <w:rPr>
          <w:noProof/>
        </w:rPr>
        <w:fldChar w:fldCharType="separate"/>
      </w:r>
      <w:r>
        <w:rPr>
          <w:noProof/>
        </w:rPr>
        <w:t>12</w:t>
      </w:r>
      <w:r>
        <w:rPr>
          <w:noProof/>
        </w:rPr>
        <w:fldChar w:fldCharType="end"/>
      </w:r>
    </w:p>
    <w:p w14:paraId="3D9AC9CD" w14:textId="4E3CBA1C" w:rsidR="00136444" w:rsidRDefault="00136444">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_Toc56591413 \h </w:instrText>
      </w:r>
      <w:r>
        <w:rPr>
          <w:noProof/>
        </w:rPr>
      </w:r>
      <w:r>
        <w:rPr>
          <w:noProof/>
        </w:rPr>
        <w:fldChar w:fldCharType="separate"/>
      </w:r>
      <w:r>
        <w:rPr>
          <w:noProof/>
        </w:rPr>
        <w:t>13</w:t>
      </w:r>
      <w:r>
        <w:rPr>
          <w:noProof/>
        </w:rPr>
        <w:fldChar w:fldCharType="end"/>
      </w:r>
    </w:p>
    <w:p w14:paraId="763C918A" w14:textId="36DE6233" w:rsidR="00136444" w:rsidRDefault="00136444">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_Toc56591414 \h </w:instrText>
      </w:r>
      <w:r>
        <w:rPr>
          <w:noProof/>
        </w:rPr>
      </w:r>
      <w:r>
        <w:rPr>
          <w:noProof/>
        </w:rPr>
        <w:fldChar w:fldCharType="separate"/>
      </w:r>
      <w:r>
        <w:rPr>
          <w:noProof/>
        </w:rPr>
        <w:t>13</w:t>
      </w:r>
      <w:r>
        <w:rPr>
          <w:noProof/>
        </w:rPr>
        <w:fldChar w:fldCharType="end"/>
      </w:r>
    </w:p>
    <w:p w14:paraId="0CA853B2" w14:textId="659589AD" w:rsidR="00136444" w:rsidRDefault="00136444">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_Toc56591415 \h </w:instrText>
      </w:r>
      <w:r>
        <w:rPr>
          <w:noProof/>
        </w:rPr>
      </w:r>
      <w:r>
        <w:rPr>
          <w:noProof/>
        </w:rPr>
        <w:fldChar w:fldCharType="separate"/>
      </w:r>
      <w:r>
        <w:rPr>
          <w:noProof/>
        </w:rPr>
        <w:t>14</w:t>
      </w:r>
      <w:r>
        <w:rPr>
          <w:noProof/>
        </w:rPr>
        <w:fldChar w:fldCharType="end"/>
      </w:r>
    </w:p>
    <w:p w14:paraId="309F912E" w14:textId="5FA03B68" w:rsidR="00136444" w:rsidRDefault="00136444">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_Toc56591416 \h </w:instrText>
      </w:r>
      <w:r>
        <w:rPr>
          <w:noProof/>
        </w:rPr>
      </w:r>
      <w:r>
        <w:rPr>
          <w:noProof/>
        </w:rPr>
        <w:fldChar w:fldCharType="separate"/>
      </w:r>
      <w:r>
        <w:rPr>
          <w:noProof/>
        </w:rPr>
        <w:t>14</w:t>
      </w:r>
      <w:r>
        <w:rPr>
          <w:noProof/>
        </w:rPr>
        <w:fldChar w:fldCharType="end"/>
      </w:r>
    </w:p>
    <w:p w14:paraId="7491706B" w14:textId="2777D44F" w:rsidR="00136444" w:rsidRDefault="00136444">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_Toc56591417 \h </w:instrText>
      </w:r>
      <w:r>
        <w:rPr>
          <w:noProof/>
        </w:rPr>
      </w:r>
      <w:r>
        <w:rPr>
          <w:noProof/>
        </w:rPr>
        <w:fldChar w:fldCharType="separate"/>
      </w:r>
      <w:r>
        <w:rPr>
          <w:noProof/>
        </w:rPr>
        <w:t>15</w:t>
      </w:r>
      <w:r>
        <w:rPr>
          <w:noProof/>
        </w:rPr>
        <w:fldChar w:fldCharType="end"/>
      </w:r>
    </w:p>
    <w:p w14:paraId="0A92A97E" w14:textId="7C199224" w:rsidR="00136444" w:rsidRDefault="00136444">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_Toc56591418 \h </w:instrText>
      </w:r>
      <w:r>
        <w:rPr>
          <w:noProof/>
        </w:rPr>
      </w:r>
      <w:r>
        <w:rPr>
          <w:noProof/>
        </w:rPr>
        <w:fldChar w:fldCharType="separate"/>
      </w:r>
      <w:r>
        <w:rPr>
          <w:noProof/>
        </w:rPr>
        <w:t>15</w:t>
      </w:r>
      <w:r>
        <w:rPr>
          <w:noProof/>
        </w:rPr>
        <w:fldChar w:fldCharType="end"/>
      </w:r>
    </w:p>
    <w:p w14:paraId="377CFA8D" w14:textId="3DA58DEB" w:rsidR="00136444" w:rsidRDefault="00136444">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_Toc56591419 \h </w:instrText>
      </w:r>
      <w:r>
        <w:rPr>
          <w:noProof/>
        </w:rPr>
      </w:r>
      <w:r>
        <w:rPr>
          <w:noProof/>
        </w:rPr>
        <w:fldChar w:fldCharType="separate"/>
      </w:r>
      <w:r>
        <w:rPr>
          <w:noProof/>
        </w:rPr>
        <w:t>15</w:t>
      </w:r>
      <w:r>
        <w:rPr>
          <w:noProof/>
        </w:rPr>
        <w:fldChar w:fldCharType="end"/>
      </w:r>
    </w:p>
    <w:p w14:paraId="50A4BA67" w14:textId="1AC1EBC7" w:rsidR="00136444" w:rsidRDefault="00136444">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_Toc56591420 \h </w:instrText>
      </w:r>
      <w:r>
        <w:rPr>
          <w:noProof/>
        </w:rPr>
      </w:r>
      <w:r>
        <w:rPr>
          <w:noProof/>
        </w:rPr>
        <w:fldChar w:fldCharType="separate"/>
      </w:r>
      <w:r>
        <w:rPr>
          <w:noProof/>
        </w:rPr>
        <w:t>16</w:t>
      </w:r>
      <w:r>
        <w:rPr>
          <w:noProof/>
        </w:rPr>
        <w:fldChar w:fldCharType="end"/>
      </w:r>
    </w:p>
    <w:p w14:paraId="4FD39368" w14:textId="77777777" w:rsidR="007E1F66" w:rsidRDefault="004E6582" w:rsidP="00A01960">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rPr>
          <w:caps w:val="0"/>
        </w:rPr>
        <w:fldChar w:fldCharType="end"/>
      </w:r>
    </w:p>
    <w:p w14:paraId="02CAE29D" w14:textId="77777777" w:rsidR="00715229" w:rsidRPr="007E1F66" w:rsidRDefault="00715229" w:rsidP="00A01960">
      <w:pPr>
        <w:pStyle w:val="eTRMHeading3"/>
      </w:pPr>
      <w:bookmarkStart w:id="0" w:name="_Toc528753388"/>
      <w:bookmarkStart w:id="1" w:name="_Toc56591397"/>
      <w:r w:rsidRPr="007E1F66">
        <w:lastRenderedPageBreak/>
        <w:t>Measure Name</w:t>
      </w:r>
      <w:bookmarkEnd w:id="0"/>
      <w:bookmarkEnd w:id="1"/>
    </w:p>
    <w:p w14:paraId="3C644EBE" w14:textId="77777777" w:rsidR="00715229" w:rsidRDefault="008E48DE" w:rsidP="00715229">
      <w:pPr>
        <w:spacing w:before="20" w:after="20" w:line="280" w:lineRule="exact"/>
      </w:pPr>
      <w:r>
        <w:t>High</w:t>
      </w:r>
      <w:r w:rsidR="000E5352">
        <w:t xml:space="preserve"> E</w:t>
      </w:r>
      <w:r>
        <w:t>fficiency Refrigerated Display Cases</w:t>
      </w:r>
    </w:p>
    <w:p w14:paraId="6F2DA138" w14:textId="77777777" w:rsidR="00715229" w:rsidRPr="00401C43" w:rsidRDefault="00715229" w:rsidP="00715229">
      <w:pPr>
        <w:spacing w:before="20" w:after="20" w:line="280" w:lineRule="exact"/>
      </w:pPr>
    </w:p>
    <w:p w14:paraId="448EDC27" w14:textId="77777777" w:rsidR="00715229" w:rsidRPr="00074E3E" w:rsidRDefault="00715229" w:rsidP="00A01960">
      <w:pPr>
        <w:pStyle w:val="eTRMHeading3"/>
      </w:pPr>
      <w:bookmarkStart w:id="2" w:name="_Toc528753389"/>
      <w:bookmarkStart w:id="3" w:name="_Toc56591398"/>
      <w:r>
        <w:t>Statewide Measure ID</w:t>
      </w:r>
      <w:bookmarkEnd w:id="2"/>
      <w:bookmarkEnd w:id="3"/>
    </w:p>
    <w:p w14:paraId="37A092EB" w14:textId="3C8B4C43" w:rsidR="00E14349" w:rsidRDefault="00715229" w:rsidP="00715229">
      <w:r>
        <w:t>SW</w:t>
      </w:r>
      <w:r w:rsidR="00FC6DB8">
        <w:t>CR</w:t>
      </w:r>
      <w:r>
        <w:t>01</w:t>
      </w:r>
      <w:r w:rsidR="00FC6DB8">
        <w:t>4</w:t>
      </w:r>
      <w:r>
        <w:t>-</w:t>
      </w:r>
      <w:r w:rsidR="00204D6F">
        <w:t>02</w:t>
      </w:r>
    </w:p>
    <w:p w14:paraId="2631178A" w14:textId="77777777" w:rsidR="00E14349" w:rsidRDefault="00E14349" w:rsidP="00E14349">
      <w:pPr>
        <w:pStyle w:val="TableFootnote"/>
      </w:pPr>
    </w:p>
    <w:p w14:paraId="4460DEA0" w14:textId="77777777" w:rsidR="00E70CBD" w:rsidRPr="00154391" w:rsidRDefault="00E70CBD" w:rsidP="00A01960">
      <w:pPr>
        <w:pStyle w:val="eTRMHeading3"/>
      </w:pPr>
      <w:bookmarkStart w:id="4" w:name="_Toc486490847"/>
      <w:bookmarkStart w:id="5" w:name="_Toc486580918"/>
      <w:bookmarkStart w:id="6" w:name="_Toc56591399"/>
      <w:r w:rsidRPr="00154391">
        <w:t>Technology Summary</w:t>
      </w:r>
      <w:bookmarkEnd w:id="4"/>
      <w:bookmarkEnd w:id="5"/>
      <w:bookmarkEnd w:id="6"/>
      <w:r w:rsidRPr="00154391">
        <w:t xml:space="preserve"> </w:t>
      </w:r>
    </w:p>
    <w:p w14:paraId="534983A1" w14:textId="41AF3E3F" w:rsidR="00B57761" w:rsidRDefault="003A4642" w:rsidP="00047F4F">
      <w:r w:rsidRPr="0017286B">
        <w:t xml:space="preserve">This measure addresses </w:t>
      </w:r>
      <w:r w:rsidR="00136444">
        <w:t>eighteen</w:t>
      </w:r>
      <w:r w:rsidR="007E23AE" w:rsidRPr="0017286B">
        <w:t xml:space="preserve"> </w:t>
      </w:r>
      <w:r w:rsidRPr="0017286B">
        <w:t>classes of display case commercial refrigerators and freezers with remote condensing units or self-contained condensing units designed for holding temperature and with a solid, transparent, or open display.</w:t>
      </w:r>
      <w:r w:rsidRPr="007E23AE">
        <w:t xml:space="preserve">  </w:t>
      </w:r>
      <w:r w:rsidR="00251CCA">
        <w:t>Measure</w:t>
      </w:r>
      <w:r w:rsidR="00372BAA">
        <w:t xml:space="preserve"> offerings</w:t>
      </w:r>
      <w:r w:rsidR="00251CCA">
        <w:t xml:space="preserve"> were selected based on</w:t>
      </w:r>
      <w:r w:rsidR="00372BAA">
        <w:t xml:space="preserve"> offerings from the predecessor IOU workpapers and in this revision, additional measure offerings were added for </w:t>
      </w:r>
      <w:r w:rsidR="00251CCA">
        <w:t>equipment classes with significant representation of Title 10 compliant units in the U</w:t>
      </w:r>
      <w:r w:rsidR="00251CCA" w:rsidRPr="00251CCA">
        <w:t>. S. Department of Energy (DOE) Compliance Certification Database</w:t>
      </w:r>
      <w:r w:rsidR="00251CCA">
        <w:t>.</w:t>
      </w:r>
      <w:r w:rsidR="00251CCA" w:rsidRPr="00251CCA">
        <w:t xml:space="preserve"> </w:t>
      </w:r>
      <w:r w:rsidRPr="007E23AE">
        <w:t>Co</w:t>
      </w:r>
      <w:r w:rsidRPr="003D03FA">
        <w:t>mmercial refrigerat</w:t>
      </w:r>
      <w:r w:rsidR="004C2770">
        <w:t>ed display cases are defined as either a medium-</w:t>
      </w:r>
      <w:r w:rsidRPr="003D03FA">
        <w:t xml:space="preserve">temperature with </w:t>
      </w:r>
      <w:r w:rsidR="004C2770">
        <w:t xml:space="preserve">an </w:t>
      </w:r>
      <w:r w:rsidRPr="003D03FA">
        <w:t xml:space="preserve">operating temperature </w:t>
      </w:r>
      <w:r w:rsidR="004C2770">
        <w:t>≥</w:t>
      </w:r>
      <w:r w:rsidRPr="003D03FA">
        <w:t xml:space="preserve"> 32 °F </w:t>
      </w:r>
      <w:r w:rsidR="004C2770">
        <w:t>or</w:t>
      </w:r>
      <w:r w:rsidRPr="003D03FA">
        <w:t xml:space="preserve"> as </w:t>
      </w:r>
      <w:r w:rsidR="004C2770">
        <w:t>a low-</w:t>
      </w:r>
      <w:r w:rsidRPr="003D03FA">
        <w:t xml:space="preserve">temperature case with </w:t>
      </w:r>
      <w:r w:rsidR="004C2770">
        <w:t xml:space="preserve">an </w:t>
      </w:r>
      <w:r w:rsidRPr="003D03FA">
        <w:t xml:space="preserve">operating temperature </w:t>
      </w:r>
      <w:r w:rsidR="004C2770">
        <w:t>&lt;</w:t>
      </w:r>
      <w:r w:rsidRPr="003D03FA">
        <w:t xml:space="preserve"> 32 °F</w:t>
      </w:r>
      <w:r w:rsidR="004C2770">
        <w:t>.</w:t>
      </w:r>
      <w:r w:rsidRPr="003D03FA">
        <w:t xml:space="preserve"> </w:t>
      </w:r>
      <w:r w:rsidR="00254397">
        <w:t>Such</w:t>
      </w:r>
      <w:r w:rsidRPr="003D03FA">
        <w:t xml:space="preserve"> display cases </w:t>
      </w:r>
      <w:r w:rsidR="00254397">
        <w:t>are utilized</w:t>
      </w:r>
      <w:r w:rsidRPr="003D03FA">
        <w:t xml:space="preserve"> in </w:t>
      </w:r>
      <w:r w:rsidR="00B17E46" w:rsidRPr="003D03FA">
        <w:t>a variety of building types, including grocery stores, restaurants, schools, lod</w:t>
      </w:r>
      <w:r w:rsidR="00254397">
        <w:t xml:space="preserve">ging facilities hospitals, etc., although they </w:t>
      </w:r>
      <w:r w:rsidR="00B17E46" w:rsidRPr="003D03FA">
        <w:t xml:space="preserve">are predominantly </w:t>
      </w:r>
      <w:r w:rsidR="00254397">
        <w:t>found</w:t>
      </w:r>
      <w:r w:rsidR="00B17E46" w:rsidRPr="003D03FA">
        <w:t xml:space="preserve"> in grocery stores, convenience stores, and restaurants.  </w:t>
      </w:r>
      <w:r w:rsidR="00B57761">
        <w:t>Medium-</w:t>
      </w:r>
      <w:r w:rsidRPr="003D03FA">
        <w:t xml:space="preserve">temperature display cases are used to stock dairy, deli, fish, and meat. </w:t>
      </w:r>
      <w:r w:rsidRPr="001E35C7">
        <w:t>Low-temperature display cases are used to stock frozen food and ice cream.</w:t>
      </w:r>
    </w:p>
    <w:p w14:paraId="464B99B8" w14:textId="08077617" w:rsidR="003A4642" w:rsidRDefault="008440D2" w:rsidP="00047F4F">
      <w:r>
        <w:t>The</w:t>
      </w:r>
      <w:r w:rsidR="0006462F">
        <w:t xml:space="preserve"> eighteen</w:t>
      </w:r>
      <w:r>
        <w:t xml:space="preserve"> </w:t>
      </w:r>
      <w:r w:rsidR="003A4642" w:rsidRPr="001E35C7">
        <w:t>equipment class</w:t>
      </w:r>
      <w:r w:rsidR="00B57761">
        <w:t>es of</w:t>
      </w:r>
      <w:r w:rsidR="003A4642" w:rsidRPr="001E35C7">
        <w:t xml:space="preserve"> display cases included in this measure</w:t>
      </w:r>
      <w:r>
        <w:t xml:space="preserve"> are summarized below</w:t>
      </w:r>
      <w:r w:rsidR="003A4642" w:rsidRPr="001E35C7">
        <w:t xml:space="preserve">. </w:t>
      </w:r>
    </w:p>
    <w:p w14:paraId="5D5506B4" w14:textId="77777777" w:rsidR="003A4642" w:rsidRPr="003D03FA" w:rsidRDefault="003A4642" w:rsidP="00407B6B">
      <w:pPr>
        <w:pStyle w:val="Caption"/>
        <w:rPr>
          <w:i/>
        </w:rPr>
      </w:pPr>
      <w:r w:rsidRPr="003D03FA">
        <w:t xml:space="preserve">Summary of </w:t>
      </w:r>
      <w:r w:rsidR="00B57761">
        <w:t xml:space="preserve">Refrigerated </w:t>
      </w:r>
      <w:r w:rsidRPr="003D03FA">
        <w:t>Display Case Class</w:t>
      </w:r>
      <w:r w:rsidR="00B57761">
        <w:t>ification</w:t>
      </w:r>
      <w:r w:rsidRPr="003D03FA">
        <w:t xml:space="preserve"> </w:t>
      </w:r>
      <w:r w:rsidR="008440D2">
        <w:rPr>
          <w:rStyle w:val="FootnoteReference"/>
        </w:rPr>
        <w:footnoteReference w:id="1"/>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08"/>
        <w:gridCol w:w="1410"/>
        <w:gridCol w:w="1169"/>
        <w:gridCol w:w="1896"/>
        <w:gridCol w:w="1275"/>
        <w:gridCol w:w="1023"/>
        <w:gridCol w:w="1169"/>
      </w:tblGrid>
      <w:tr w:rsidR="0053596C" w:rsidRPr="001C6D01" w14:paraId="30726407" w14:textId="77777777" w:rsidTr="008F06FA">
        <w:trPr>
          <w:cantSplit/>
          <w:tblHeader/>
        </w:trPr>
        <w:tc>
          <w:tcPr>
            <w:tcW w:w="753" w:type="pct"/>
            <w:shd w:val="clear" w:color="auto" w:fill="F2F2F2" w:themeFill="background1" w:themeFillShade="F2"/>
            <w:vAlign w:val="bottom"/>
          </w:tcPr>
          <w:p w14:paraId="065CF99B" w14:textId="77777777" w:rsidR="0053596C" w:rsidRPr="001C6D01" w:rsidRDefault="0053596C" w:rsidP="0053596C">
            <w:pPr>
              <w:spacing w:before="20" w:after="20"/>
              <w:jc w:val="center"/>
              <w:rPr>
                <w:rFonts w:cstheme="minorHAnsi"/>
                <w:b/>
                <w:sz w:val="20"/>
              </w:rPr>
            </w:pPr>
            <w:r w:rsidRPr="001C6D01">
              <w:rPr>
                <w:rFonts w:cstheme="minorHAnsi"/>
                <w:b/>
                <w:sz w:val="20"/>
              </w:rPr>
              <w:t>Operating Mode Designation</w:t>
            </w:r>
          </w:p>
        </w:tc>
        <w:tc>
          <w:tcPr>
            <w:tcW w:w="754" w:type="pct"/>
            <w:shd w:val="clear" w:color="auto" w:fill="F2F2F2" w:themeFill="background1" w:themeFillShade="F2"/>
            <w:vAlign w:val="bottom"/>
          </w:tcPr>
          <w:p w14:paraId="37E0754B" w14:textId="77777777" w:rsidR="0053596C" w:rsidRPr="001C6D01" w:rsidRDefault="0053596C" w:rsidP="0053596C">
            <w:pPr>
              <w:spacing w:before="20" w:after="20"/>
              <w:jc w:val="center"/>
              <w:rPr>
                <w:rFonts w:cstheme="minorHAnsi"/>
                <w:b/>
                <w:sz w:val="20"/>
              </w:rPr>
            </w:pPr>
            <w:r w:rsidRPr="001C6D01">
              <w:rPr>
                <w:rFonts w:cstheme="minorHAnsi"/>
                <w:b/>
                <w:sz w:val="20"/>
              </w:rPr>
              <w:t>Equipment Family</w:t>
            </w:r>
          </w:p>
        </w:tc>
        <w:tc>
          <w:tcPr>
            <w:tcW w:w="625" w:type="pct"/>
            <w:shd w:val="clear" w:color="auto" w:fill="F2F2F2" w:themeFill="background1" w:themeFillShade="F2"/>
            <w:vAlign w:val="bottom"/>
          </w:tcPr>
          <w:p w14:paraId="39008AC0" w14:textId="77777777" w:rsidR="0053596C" w:rsidRPr="001C6D01" w:rsidRDefault="0053596C" w:rsidP="0053596C">
            <w:pPr>
              <w:spacing w:before="20" w:after="20"/>
              <w:jc w:val="center"/>
              <w:rPr>
                <w:rFonts w:cstheme="minorHAnsi"/>
                <w:b/>
                <w:sz w:val="20"/>
              </w:rPr>
            </w:pPr>
            <w:r w:rsidRPr="001C6D01">
              <w:rPr>
                <w:rFonts w:cstheme="minorHAnsi"/>
                <w:b/>
                <w:sz w:val="20"/>
              </w:rPr>
              <w:t>Equipment Family Designation</w:t>
            </w:r>
          </w:p>
        </w:tc>
        <w:tc>
          <w:tcPr>
            <w:tcW w:w="1014" w:type="pct"/>
            <w:shd w:val="clear" w:color="auto" w:fill="F2F2F2" w:themeFill="background1" w:themeFillShade="F2"/>
            <w:vAlign w:val="bottom"/>
          </w:tcPr>
          <w:p w14:paraId="64D7ACAF" w14:textId="77777777" w:rsidR="0053596C" w:rsidRPr="001C6D01" w:rsidRDefault="0053596C" w:rsidP="0053596C">
            <w:pPr>
              <w:spacing w:before="20" w:after="20"/>
              <w:jc w:val="center"/>
              <w:rPr>
                <w:rFonts w:cstheme="minorHAnsi"/>
                <w:b/>
                <w:sz w:val="20"/>
              </w:rPr>
            </w:pPr>
            <w:r w:rsidRPr="001C6D01">
              <w:rPr>
                <w:rFonts w:cstheme="minorHAnsi"/>
                <w:b/>
                <w:sz w:val="20"/>
              </w:rPr>
              <w:t>Sample Equipment Family Image</w:t>
            </w:r>
          </w:p>
        </w:tc>
        <w:tc>
          <w:tcPr>
            <w:tcW w:w="682" w:type="pct"/>
            <w:shd w:val="clear" w:color="auto" w:fill="F2F2F2" w:themeFill="background1" w:themeFillShade="F2"/>
            <w:vAlign w:val="bottom"/>
          </w:tcPr>
          <w:p w14:paraId="4108939C" w14:textId="77777777" w:rsidR="0053596C" w:rsidRPr="001C6D01" w:rsidRDefault="0053596C" w:rsidP="0053596C">
            <w:pPr>
              <w:spacing w:before="20" w:after="20"/>
              <w:jc w:val="center"/>
              <w:rPr>
                <w:rFonts w:cstheme="minorHAnsi"/>
                <w:b/>
                <w:sz w:val="20"/>
              </w:rPr>
            </w:pPr>
            <w:r w:rsidRPr="001C6D01">
              <w:rPr>
                <w:rFonts w:cstheme="minorHAnsi"/>
                <w:b/>
                <w:sz w:val="20"/>
              </w:rPr>
              <w:t>Temperature Designation</w:t>
            </w:r>
          </w:p>
        </w:tc>
        <w:tc>
          <w:tcPr>
            <w:tcW w:w="547" w:type="pct"/>
            <w:shd w:val="clear" w:color="auto" w:fill="F2F2F2" w:themeFill="background1" w:themeFillShade="F2"/>
            <w:vAlign w:val="bottom"/>
          </w:tcPr>
          <w:p w14:paraId="01139FF1" w14:textId="77777777" w:rsidR="0053596C" w:rsidRPr="001C6D01" w:rsidRDefault="0053596C" w:rsidP="0053596C">
            <w:pPr>
              <w:spacing w:before="20" w:after="20"/>
              <w:jc w:val="center"/>
              <w:rPr>
                <w:rFonts w:cstheme="minorHAnsi"/>
                <w:b/>
                <w:sz w:val="20"/>
              </w:rPr>
            </w:pPr>
            <w:r w:rsidRPr="001C6D01">
              <w:rPr>
                <w:rFonts w:cstheme="minorHAnsi"/>
                <w:b/>
                <w:sz w:val="20"/>
              </w:rPr>
              <w:t>Operating Temp.</w:t>
            </w:r>
          </w:p>
        </w:tc>
        <w:tc>
          <w:tcPr>
            <w:tcW w:w="625" w:type="pct"/>
            <w:shd w:val="clear" w:color="auto" w:fill="F2F2F2" w:themeFill="background1" w:themeFillShade="F2"/>
            <w:vAlign w:val="bottom"/>
          </w:tcPr>
          <w:p w14:paraId="68EB92FA" w14:textId="77777777" w:rsidR="0053596C" w:rsidRPr="001C6D01" w:rsidRDefault="0053596C" w:rsidP="0053596C">
            <w:pPr>
              <w:spacing w:before="20" w:after="20"/>
              <w:jc w:val="center"/>
              <w:rPr>
                <w:rFonts w:cstheme="minorHAnsi"/>
                <w:b/>
                <w:sz w:val="20"/>
              </w:rPr>
            </w:pPr>
            <w:r w:rsidRPr="001C6D01">
              <w:rPr>
                <w:rFonts w:cstheme="minorHAnsi"/>
                <w:b/>
                <w:sz w:val="20"/>
              </w:rPr>
              <w:t>Equipment Class Designation</w:t>
            </w:r>
          </w:p>
        </w:tc>
      </w:tr>
      <w:tr w:rsidR="00F74791" w:rsidRPr="00986B41" w14:paraId="18C05B4F" w14:textId="77777777" w:rsidTr="008F06FA">
        <w:trPr>
          <w:trHeight w:val="1133"/>
        </w:trPr>
        <w:tc>
          <w:tcPr>
            <w:tcW w:w="753" w:type="pct"/>
            <w:vMerge w:val="restart"/>
            <w:vAlign w:val="center"/>
          </w:tcPr>
          <w:p w14:paraId="2F74325E" w14:textId="77777777" w:rsidR="00F74791" w:rsidRPr="001C6D01" w:rsidRDefault="00F74791" w:rsidP="0053596C">
            <w:pPr>
              <w:spacing w:before="20" w:after="20"/>
              <w:jc w:val="center"/>
              <w:rPr>
                <w:sz w:val="20"/>
              </w:rPr>
            </w:pPr>
            <w:r w:rsidRPr="001C6D01">
              <w:rPr>
                <w:sz w:val="20"/>
              </w:rPr>
              <w:t xml:space="preserve">Remote Condensing (RC) </w:t>
            </w:r>
          </w:p>
        </w:tc>
        <w:tc>
          <w:tcPr>
            <w:tcW w:w="754" w:type="pct"/>
            <w:vAlign w:val="center"/>
          </w:tcPr>
          <w:p w14:paraId="17BD011D" w14:textId="77777777" w:rsidR="00F74791" w:rsidRPr="001C6D01" w:rsidRDefault="00F74791" w:rsidP="001C6D01">
            <w:pPr>
              <w:spacing w:before="20" w:after="20"/>
              <w:jc w:val="center"/>
              <w:rPr>
                <w:sz w:val="20"/>
              </w:rPr>
            </w:pPr>
            <w:r w:rsidRPr="001C6D01">
              <w:rPr>
                <w:sz w:val="20"/>
              </w:rPr>
              <w:t>Vertical Open</w:t>
            </w:r>
          </w:p>
        </w:tc>
        <w:tc>
          <w:tcPr>
            <w:tcW w:w="625" w:type="pct"/>
            <w:vAlign w:val="center"/>
          </w:tcPr>
          <w:p w14:paraId="48E07B85" w14:textId="77777777" w:rsidR="00F74791" w:rsidRPr="001C6D01" w:rsidRDefault="00F74791" w:rsidP="001C6D01">
            <w:pPr>
              <w:spacing w:before="20" w:after="20"/>
              <w:jc w:val="center"/>
              <w:rPr>
                <w:sz w:val="20"/>
              </w:rPr>
            </w:pPr>
            <w:r w:rsidRPr="001C6D01">
              <w:rPr>
                <w:sz w:val="20"/>
              </w:rPr>
              <w:t>VOP</w:t>
            </w:r>
          </w:p>
        </w:tc>
        <w:tc>
          <w:tcPr>
            <w:tcW w:w="1014" w:type="pct"/>
            <w:vAlign w:val="center"/>
          </w:tcPr>
          <w:p w14:paraId="66EF69D1" w14:textId="77777777" w:rsidR="00F74791" w:rsidRPr="001C6D01" w:rsidRDefault="00F74791" w:rsidP="001C6D01">
            <w:pPr>
              <w:spacing w:before="20" w:after="20"/>
              <w:jc w:val="center"/>
              <w:rPr>
                <w:sz w:val="20"/>
              </w:rPr>
            </w:pPr>
            <w:r w:rsidRPr="001C6D01">
              <w:rPr>
                <w:rFonts w:eastAsiaTheme="minorEastAsia" w:cstheme="minorBidi"/>
                <w:sz w:val="20"/>
                <w:szCs w:val="24"/>
              </w:rPr>
              <w:object w:dxaOrig="1395" w:dyaOrig="1290" w14:anchorId="4318A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5pt" o:ole="">
                  <v:imagedata r:id="rId14" o:title=""/>
                </v:shape>
                <o:OLEObject Type="Embed" ProgID="PBrush" ShapeID="_x0000_i1025" DrawAspect="Content" ObjectID="_1668145840" r:id="rId15"/>
              </w:object>
            </w:r>
          </w:p>
        </w:tc>
        <w:tc>
          <w:tcPr>
            <w:tcW w:w="682" w:type="pct"/>
            <w:vAlign w:val="center"/>
          </w:tcPr>
          <w:p w14:paraId="52A9DF6E" w14:textId="77777777" w:rsidR="00F74791" w:rsidRPr="001C6D01" w:rsidRDefault="00F74791" w:rsidP="001C6D01">
            <w:pPr>
              <w:spacing w:before="20" w:after="20"/>
              <w:jc w:val="center"/>
              <w:rPr>
                <w:sz w:val="20"/>
              </w:rPr>
            </w:pPr>
            <w:r w:rsidRPr="001C6D01">
              <w:rPr>
                <w:sz w:val="20"/>
              </w:rPr>
              <w:t>M (38 °F)</w:t>
            </w:r>
          </w:p>
        </w:tc>
        <w:tc>
          <w:tcPr>
            <w:tcW w:w="547" w:type="pct"/>
            <w:vAlign w:val="center"/>
          </w:tcPr>
          <w:p w14:paraId="59ED6370" w14:textId="77777777" w:rsidR="00F74791" w:rsidRPr="001C6D01" w:rsidRDefault="00F74791" w:rsidP="001C6D01">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030CAFC9" w14:textId="77777777" w:rsidR="00F74791" w:rsidRPr="0006462F" w:rsidRDefault="00F74791" w:rsidP="001C6D01">
            <w:pPr>
              <w:spacing w:before="20" w:after="20"/>
              <w:jc w:val="center"/>
              <w:rPr>
                <w:sz w:val="20"/>
              </w:rPr>
            </w:pPr>
            <w:r w:rsidRPr="0006462F">
              <w:rPr>
                <w:sz w:val="20"/>
              </w:rPr>
              <w:t>VOP.RC.M</w:t>
            </w:r>
          </w:p>
        </w:tc>
      </w:tr>
      <w:tr w:rsidR="00F74791" w:rsidRPr="00986B41" w14:paraId="71CD6B95" w14:textId="77777777" w:rsidTr="008F06FA">
        <w:trPr>
          <w:trHeight w:val="243"/>
        </w:trPr>
        <w:tc>
          <w:tcPr>
            <w:tcW w:w="753" w:type="pct"/>
            <w:vMerge/>
            <w:vAlign w:val="center"/>
          </w:tcPr>
          <w:p w14:paraId="267B9C67" w14:textId="77777777" w:rsidR="00F74791" w:rsidRPr="001C6D01" w:rsidRDefault="00F74791" w:rsidP="001C6D01">
            <w:pPr>
              <w:spacing w:before="20" w:after="20"/>
              <w:jc w:val="center"/>
              <w:rPr>
                <w:sz w:val="20"/>
              </w:rPr>
            </w:pPr>
          </w:p>
        </w:tc>
        <w:tc>
          <w:tcPr>
            <w:tcW w:w="754" w:type="pct"/>
            <w:vAlign w:val="center"/>
          </w:tcPr>
          <w:p w14:paraId="6F2BD675" w14:textId="77777777" w:rsidR="00F74791" w:rsidRPr="001C6D01" w:rsidRDefault="00F74791" w:rsidP="001C6D01">
            <w:pPr>
              <w:spacing w:before="20" w:after="20"/>
              <w:jc w:val="center"/>
              <w:rPr>
                <w:sz w:val="20"/>
              </w:rPr>
            </w:pPr>
            <w:r w:rsidRPr="001C6D01">
              <w:rPr>
                <w:sz w:val="20"/>
              </w:rPr>
              <w:t>Semi vertical Open</w:t>
            </w:r>
          </w:p>
        </w:tc>
        <w:tc>
          <w:tcPr>
            <w:tcW w:w="625" w:type="pct"/>
            <w:vAlign w:val="center"/>
          </w:tcPr>
          <w:p w14:paraId="7FCF4BCC" w14:textId="77777777" w:rsidR="00F74791" w:rsidRPr="001C6D01" w:rsidRDefault="00F74791" w:rsidP="001C6D01">
            <w:pPr>
              <w:spacing w:before="20" w:after="20"/>
              <w:jc w:val="center"/>
              <w:rPr>
                <w:sz w:val="20"/>
              </w:rPr>
            </w:pPr>
            <w:r w:rsidRPr="001C6D01">
              <w:rPr>
                <w:sz w:val="20"/>
              </w:rPr>
              <w:t>SVO</w:t>
            </w:r>
          </w:p>
        </w:tc>
        <w:tc>
          <w:tcPr>
            <w:tcW w:w="1014" w:type="pct"/>
            <w:vAlign w:val="center"/>
          </w:tcPr>
          <w:p w14:paraId="4E9BD6B5" w14:textId="77777777" w:rsidR="00F74791" w:rsidRPr="001C6D01" w:rsidRDefault="00F74791" w:rsidP="001C6D01">
            <w:pPr>
              <w:spacing w:before="20" w:after="20"/>
              <w:jc w:val="center"/>
              <w:rPr>
                <w:sz w:val="20"/>
              </w:rPr>
            </w:pPr>
            <w:r w:rsidRPr="001C6D01">
              <w:rPr>
                <w:rFonts w:eastAsiaTheme="minorEastAsia" w:cstheme="minorBidi"/>
                <w:sz w:val="20"/>
                <w:szCs w:val="24"/>
              </w:rPr>
              <w:object w:dxaOrig="1470" w:dyaOrig="990" w14:anchorId="23E81099">
                <v:shape id="_x0000_i1026" type="#_x0000_t75" style="width:1in;height:50.5pt" o:ole="">
                  <v:imagedata r:id="rId16" o:title=""/>
                </v:shape>
                <o:OLEObject Type="Embed" ProgID="PBrush" ShapeID="_x0000_i1026" DrawAspect="Content" ObjectID="_1668145841" r:id="rId17"/>
              </w:object>
            </w:r>
          </w:p>
        </w:tc>
        <w:tc>
          <w:tcPr>
            <w:tcW w:w="682" w:type="pct"/>
            <w:vAlign w:val="center"/>
          </w:tcPr>
          <w:p w14:paraId="314A43C8" w14:textId="77777777" w:rsidR="00F74791" w:rsidRPr="001C6D01" w:rsidRDefault="00F74791" w:rsidP="001C6D01">
            <w:pPr>
              <w:spacing w:before="20" w:after="20"/>
              <w:jc w:val="center"/>
              <w:rPr>
                <w:sz w:val="20"/>
              </w:rPr>
            </w:pPr>
            <w:r w:rsidRPr="001C6D01">
              <w:rPr>
                <w:sz w:val="20"/>
              </w:rPr>
              <w:t>M (38 °F)</w:t>
            </w:r>
          </w:p>
        </w:tc>
        <w:tc>
          <w:tcPr>
            <w:tcW w:w="547" w:type="pct"/>
            <w:vAlign w:val="center"/>
          </w:tcPr>
          <w:p w14:paraId="091724B4" w14:textId="77777777" w:rsidR="00F74791" w:rsidRPr="001C6D01" w:rsidRDefault="00F74791" w:rsidP="001C6D01">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57E7C716" w14:textId="77777777" w:rsidR="00F74791" w:rsidRPr="0006462F" w:rsidRDefault="00F74791" w:rsidP="001C6D01">
            <w:pPr>
              <w:spacing w:before="20" w:after="20"/>
              <w:jc w:val="center"/>
              <w:rPr>
                <w:sz w:val="20"/>
              </w:rPr>
            </w:pPr>
            <w:r w:rsidRPr="0006462F">
              <w:rPr>
                <w:sz w:val="20"/>
              </w:rPr>
              <w:t>SVO.RC.M</w:t>
            </w:r>
          </w:p>
        </w:tc>
      </w:tr>
      <w:tr w:rsidR="00F74791" w:rsidRPr="00986B41" w14:paraId="63B1DAAB" w14:textId="77777777" w:rsidTr="008F06FA">
        <w:trPr>
          <w:trHeight w:val="1007"/>
        </w:trPr>
        <w:tc>
          <w:tcPr>
            <w:tcW w:w="753" w:type="pct"/>
            <w:vMerge/>
            <w:vAlign w:val="center"/>
          </w:tcPr>
          <w:p w14:paraId="70A5361A" w14:textId="77777777" w:rsidR="00F74791" w:rsidRPr="001C6D01" w:rsidRDefault="00F74791" w:rsidP="001C6D01">
            <w:pPr>
              <w:spacing w:before="20" w:after="20"/>
              <w:jc w:val="center"/>
              <w:rPr>
                <w:sz w:val="20"/>
              </w:rPr>
            </w:pPr>
          </w:p>
        </w:tc>
        <w:tc>
          <w:tcPr>
            <w:tcW w:w="754" w:type="pct"/>
            <w:vAlign w:val="center"/>
          </w:tcPr>
          <w:p w14:paraId="0D1970C5" w14:textId="77777777" w:rsidR="00F74791" w:rsidRPr="001C6D01" w:rsidRDefault="00F74791" w:rsidP="001C6D01">
            <w:pPr>
              <w:spacing w:before="20" w:after="20"/>
              <w:jc w:val="center"/>
              <w:rPr>
                <w:sz w:val="20"/>
              </w:rPr>
            </w:pPr>
            <w:r w:rsidRPr="001C6D01">
              <w:rPr>
                <w:sz w:val="20"/>
              </w:rPr>
              <w:t>Horizontal Open</w:t>
            </w:r>
          </w:p>
        </w:tc>
        <w:tc>
          <w:tcPr>
            <w:tcW w:w="625" w:type="pct"/>
            <w:vAlign w:val="center"/>
          </w:tcPr>
          <w:p w14:paraId="2407E9A5" w14:textId="77777777" w:rsidR="00F74791" w:rsidRPr="001C6D01" w:rsidRDefault="00F74791" w:rsidP="001C6D01">
            <w:pPr>
              <w:spacing w:before="20" w:after="20"/>
              <w:jc w:val="center"/>
              <w:rPr>
                <w:sz w:val="20"/>
              </w:rPr>
            </w:pPr>
            <w:r w:rsidRPr="001C6D01">
              <w:rPr>
                <w:sz w:val="20"/>
              </w:rPr>
              <w:t>HZO</w:t>
            </w:r>
          </w:p>
        </w:tc>
        <w:tc>
          <w:tcPr>
            <w:tcW w:w="1014" w:type="pct"/>
            <w:vAlign w:val="center"/>
          </w:tcPr>
          <w:p w14:paraId="5E9B1BA2" w14:textId="77777777" w:rsidR="00F74791" w:rsidRPr="001C6D01" w:rsidRDefault="00F74791" w:rsidP="001C6D01">
            <w:pPr>
              <w:spacing w:before="20" w:after="20"/>
              <w:jc w:val="center"/>
              <w:rPr>
                <w:sz w:val="20"/>
              </w:rPr>
            </w:pPr>
            <w:r w:rsidRPr="001C6D01">
              <w:rPr>
                <w:rFonts w:eastAsiaTheme="minorEastAsia" w:cstheme="minorBidi"/>
                <w:sz w:val="20"/>
                <w:szCs w:val="24"/>
              </w:rPr>
              <w:object w:dxaOrig="1485" w:dyaOrig="1245" w14:anchorId="18D178A1">
                <v:shape id="_x0000_i1027" type="#_x0000_t75" style="width:1in;height:57.5pt" o:ole="">
                  <v:imagedata r:id="rId18" o:title=""/>
                </v:shape>
                <o:OLEObject Type="Embed" ProgID="PBrush" ShapeID="_x0000_i1027" DrawAspect="Content" ObjectID="_1668145842" r:id="rId19"/>
              </w:object>
            </w:r>
          </w:p>
        </w:tc>
        <w:tc>
          <w:tcPr>
            <w:tcW w:w="682" w:type="pct"/>
            <w:vAlign w:val="center"/>
          </w:tcPr>
          <w:p w14:paraId="7B7EDF83" w14:textId="77777777" w:rsidR="00F74791" w:rsidRPr="001C6D01" w:rsidRDefault="00F74791" w:rsidP="001C6D01">
            <w:pPr>
              <w:spacing w:before="20" w:after="20"/>
              <w:jc w:val="center"/>
              <w:rPr>
                <w:sz w:val="20"/>
              </w:rPr>
            </w:pPr>
            <w:r w:rsidRPr="001C6D01">
              <w:rPr>
                <w:sz w:val="20"/>
              </w:rPr>
              <w:t>L (0 °F)</w:t>
            </w:r>
          </w:p>
        </w:tc>
        <w:tc>
          <w:tcPr>
            <w:tcW w:w="547" w:type="pct"/>
            <w:vAlign w:val="center"/>
          </w:tcPr>
          <w:p w14:paraId="4D519B6D" w14:textId="77777777" w:rsidR="00F74791" w:rsidRPr="001C6D01" w:rsidRDefault="00F74791" w:rsidP="001C6D01">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4EC481BC" w14:textId="77777777" w:rsidR="00F74791" w:rsidRPr="0006462F" w:rsidRDefault="00F74791" w:rsidP="001C6D01">
            <w:pPr>
              <w:spacing w:before="20" w:after="20"/>
              <w:jc w:val="center"/>
              <w:rPr>
                <w:sz w:val="20"/>
              </w:rPr>
            </w:pPr>
            <w:r w:rsidRPr="0006462F">
              <w:rPr>
                <w:sz w:val="20"/>
              </w:rPr>
              <w:t>HZO.RC.L</w:t>
            </w:r>
          </w:p>
        </w:tc>
      </w:tr>
      <w:tr w:rsidR="00F74791" w:rsidRPr="00986B41" w14:paraId="0D1A51E3" w14:textId="77777777" w:rsidTr="008F06FA">
        <w:trPr>
          <w:trHeight w:val="624"/>
        </w:trPr>
        <w:tc>
          <w:tcPr>
            <w:tcW w:w="753" w:type="pct"/>
            <w:vMerge/>
            <w:vAlign w:val="center"/>
          </w:tcPr>
          <w:p w14:paraId="391EB600" w14:textId="77777777" w:rsidR="00F74791" w:rsidRPr="001C6D01" w:rsidRDefault="00F74791" w:rsidP="0053596C">
            <w:pPr>
              <w:spacing w:before="20" w:after="20"/>
              <w:jc w:val="center"/>
              <w:rPr>
                <w:rFonts w:cstheme="minorHAnsi"/>
                <w:sz w:val="20"/>
              </w:rPr>
            </w:pPr>
          </w:p>
        </w:tc>
        <w:tc>
          <w:tcPr>
            <w:tcW w:w="754" w:type="pct"/>
            <w:vMerge w:val="restart"/>
            <w:vAlign w:val="center"/>
          </w:tcPr>
          <w:p w14:paraId="6A38FCB5" w14:textId="77777777" w:rsidR="00F74791" w:rsidRPr="001C6D01" w:rsidRDefault="00F74791" w:rsidP="0053596C">
            <w:pPr>
              <w:spacing w:before="20" w:after="20"/>
              <w:jc w:val="center"/>
              <w:rPr>
                <w:rFonts w:cstheme="minorHAnsi"/>
                <w:sz w:val="20"/>
              </w:rPr>
            </w:pPr>
            <w:r w:rsidRPr="001C6D01">
              <w:rPr>
                <w:rFonts w:cstheme="minorHAnsi"/>
                <w:sz w:val="20"/>
              </w:rPr>
              <w:t>Vertical Closed</w:t>
            </w:r>
            <w:r>
              <w:rPr>
                <w:rFonts w:cstheme="minorHAnsi"/>
                <w:sz w:val="20"/>
              </w:rPr>
              <w:t xml:space="preserve"> </w:t>
            </w:r>
            <w:r w:rsidRPr="001C6D01">
              <w:rPr>
                <w:rFonts w:cstheme="minorHAnsi"/>
                <w:sz w:val="20"/>
              </w:rPr>
              <w:t>Transparent</w:t>
            </w:r>
          </w:p>
        </w:tc>
        <w:tc>
          <w:tcPr>
            <w:tcW w:w="625" w:type="pct"/>
            <w:vMerge w:val="restart"/>
            <w:vAlign w:val="center"/>
          </w:tcPr>
          <w:p w14:paraId="27439C5F" w14:textId="77777777" w:rsidR="00F74791" w:rsidRPr="001C6D01" w:rsidRDefault="00F74791" w:rsidP="001C6D01">
            <w:pPr>
              <w:spacing w:before="20" w:after="20"/>
              <w:jc w:val="center"/>
              <w:rPr>
                <w:sz w:val="20"/>
              </w:rPr>
            </w:pPr>
            <w:r w:rsidRPr="001C6D01">
              <w:rPr>
                <w:sz w:val="20"/>
              </w:rPr>
              <w:t>VCT</w:t>
            </w:r>
          </w:p>
        </w:tc>
        <w:tc>
          <w:tcPr>
            <w:tcW w:w="1014" w:type="pct"/>
            <w:vMerge w:val="restart"/>
            <w:vAlign w:val="center"/>
          </w:tcPr>
          <w:p w14:paraId="67D2C293" w14:textId="77777777" w:rsidR="00F74791" w:rsidRPr="001C6D01" w:rsidRDefault="00F74791" w:rsidP="001C6D01">
            <w:pPr>
              <w:spacing w:before="20" w:after="20"/>
              <w:jc w:val="center"/>
              <w:rPr>
                <w:sz w:val="20"/>
              </w:rPr>
            </w:pPr>
            <w:r w:rsidRPr="001C6D01">
              <w:rPr>
                <w:rFonts w:eastAsiaTheme="minorEastAsia" w:cstheme="minorBidi"/>
                <w:sz w:val="20"/>
                <w:szCs w:val="24"/>
              </w:rPr>
              <w:object w:dxaOrig="1425" w:dyaOrig="1260" w14:anchorId="370D710F">
                <v:shape id="_x0000_i1028" type="#_x0000_t75" style="width:1in;height:57.5pt" o:ole="">
                  <v:imagedata r:id="rId20" o:title=""/>
                </v:shape>
                <o:OLEObject Type="Embed" ProgID="PBrush" ShapeID="_x0000_i1028" DrawAspect="Content" ObjectID="_1668145843" r:id="rId21"/>
              </w:object>
            </w:r>
          </w:p>
        </w:tc>
        <w:tc>
          <w:tcPr>
            <w:tcW w:w="682" w:type="pct"/>
            <w:vAlign w:val="center"/>
          </w:tcPr>
          <w:p w14:paraId="2BB9B649" w14:textId="77777777" w:rsidR="00F74791" w:rsidRPr="001C6D01" w:rsidRDefault="00F74791" w:rsidP="001C6D01">
            <w:pPr>
              <w:spacing w:before="20" w:after="20"/>
              <w:jc w:val="center"/>
              <w:rPr>
                <w:sz w:val="20"/>
              </w:rPr>
            </w:pPr>
            <w:r w:rsidRPr="001C6D01">
              <w:rPr>
                <w:sz w:val="20"/>
              </w:rPr>
              <w:t>M (38 °F)</w:t>
            </w:r>
          </w:p>
        </w:tc>
        <w:tc>
          <w:tcPr>
            <w:tcW w:w="547" w:type="pct"/>
            <w:vAlign w:val="center"/>
          </w:tcPr>
          <w:p w14:paraId="0E92DA20" w14:textId="77777777" w:rsidR="00F74791" w:rsidRPr="001C6D01" w:rsidRDefault="00F74791" w:rsidP="001C6D01">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32C6BBAB" w14:textId="77777777" w:rsidR="00F74791" w:rsidRPr="0006462F" w:rsidRDefault="00F74791" w:rsidP="001C6D01">
            <w:pPr>
              <w:spacing w:before="20" w:after="20"/>
              <w:jc w:val="center"/>
              <w:rPr>
                <w:sz w:val="20"/>
              </w:rPr>
            </w:pPr>
            <w:r w:rsidRPr="0006462F">
              <w:rPr>
                <w:sz w:val="20"/>
              </w:rPr>
              <w:t>VCT.RC.M</w:t>
            </w:r>
          </w:p>
        </w:tc>
      </w:tr>
      <w:tr w:rsidR="00F74791" w:rsidRPr="00986B41" w14:paraId="6BF7DD67" w14:textId="77777777" w:rsidTr="008F06FA">
        <w:trPr>
          <w:trHeight w:val="564"/>
        </w:trPr>
        <w:tc>
          <w:tcPr>
            <w:tcW w:w="753" w:type="pct"/>
            <w:vMerge/>
            <w:vAlign w:val="center"/>
          </w:tcPr>
          <w:p w14:paraId="45C41EDF" w14:textId="77777777" w:rsidR="00F74791" w:rsidRPr="001C6D01" w:rsidRDefault="00F74791" w:rsidP="001C6D01">
            <w:pPr>
              <w:spacing w:before="20" w:after="20"/>
              <w:jc w:val="center"/>
              <w:rPr>
                <w:rFonts w:cstheme="minorHAnsi"/>
                <w:sz w:val="20"/>
              </w:rPr>
            </w:pPr>
          </w:p>
        </w:tc>
        <w:tc>
          <w:tcPr>
            <w:tcW w:w="754" w:type="pct"/>
            <w:vMerge/>
            <w:vAlign w:val="center"/>
          </w:tcPr>
          <w:p w14:paraId="0FE12DB4" w14:textId="77777777" w:rsidR="00F74791" w:rsidRPr="001C6D01" w:rsidRDefault="00F74791" w:rsidP="001C6D01">
            <w:pPr>
              <w:spacing w:before="20" w:after="20"/>
              <w:jc w:val="center"/>
              <w:rPr>
                <w:rFonts w:cstheme="minorHAnsi"/>
                <w:sz w:val="20"/>
              </w:rPr>
            </w:pPr>
          </w:p>
        </w:tc>
        <w:tc>
          <w:tcPr>
            <w:tcW w:w="625" w:type="pct"/>
            <w:vMerge/>
            <w:vAlign w:val="center"/>
          </w:tcPr>
          <w:p w14:paraId="4CA2F9F4" w14:textId="77777777" w:rsidR="00F74791" w:rsidRPr="001C6D01" w:rsidRDefault="00F74791" w:rsidP="001C6D01">
            <w:pPr>
              <w:spacing w:before="20" w:after="20"/>
              <w:jc w:val="center"/>
              <w:rPr>
                <w:sz w:val="20"/>
              </w:rPr>
            </w:pPr>
          </w:p>
        </w:tc>
        <w:tc>
          <w:tcPr>
            <w:tcW w:w="1014" w:type="pct"/>
            <w:vMerge/>
            <w:vAlign w:val="center"/>
          </w:tcPr>
          <w:p w14:paraId="235BDBE3" w14:textId="77777777" w:rsidR="00F74791" w:rsidRPr="001C6D01" w:rsidRDefault="00F74791" w:rsidP="001C6D01">
            <w:pPr>
              <w:spacing w:before="20" w:after="20"/>
              <w:jc w:val="center"/>
              <w:rPr>
                <w:sz w:val="20"/>
              </w:rPr>
            </w:pPr>
          </w:p>
        </w:tc>
        <w:tc>
          <w:tcPr>
            <w:tcW w:w="682" w:type="pct"/>
            <w:vAlign w:val="center"/>
          </w:tcPr>
          <w:p w14:paraId="160F4991" w14:textId="77777777" w:rsidR="00F74791" w:rsidRPr="001C6D01" w:rsidRDefault="00F74791" w:rsidP="001C6D01">
            <w:pPr>
              <w:spacing w:before="20" w:after="20"/>
              <w:jc w:val="center"/>
              <w:rPr>
                <w:sz w:val="20"/>
              </w:rPr>
            </w:pPr>
            <w:r w:rsidRPr="001C6D01">
              <w:rPr>
                <w:sz w:val="20"/>
              </w:rPr>
              <w:t>L (0 °F)</w:t>
            </w:r>
          </w:p>
        </w:tc>
        <w:tc>
          <w:tcPr>
            <w:tcW w:w="547" w:type="pct"/>
            <w:vAlign w:val="center"/>
          </w:tcPr>
          <w:p w14:paraId="6385F8B2" w14:textId="77777777" w:rsidR="00F74791" w:rsidRPr="001C6D01" w:rsidRDefault="00F74791" w:rsidP="001C6D01">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25A2A746" w14:textId="77777777" w:rsidR="00F74791" w:rsidRPr="0006462F" w:rsidRDefault="00F74791" w:rsidP="001C6D01">
            <w:pPr>
              <w:spacing w:before="20" w:after="20"/>
              <w:jc w:val="center"/>
              <w:rPr>
                <w:sz w:val="20"/>
              </w:rPr>
            </w:pPr>
            <w:r w:rsidRPr="0006462F">
              <w:rPr>
                <w:sz w:val="20"/>
              </w:rPr>
              <w:t>VCT.RC.L</w:t>
            </w:r>
          </w:p>
        </w:tc>
      </w:tr>
      <w:tr w:rsidR="000F5D12" w:rsidRPr="00986B41" w14:paraId="4CCC23E9" w14:textId="77777777" w:rsidTr="008F06FA">
        <w:trPr>
          <w:trHeight w:val="564"/>
        </w:trPr>
        <w:tc>
          <w:tcPr>
            <w:tcW w:w="753" w:type="pct"/>
            <w:vMerge/>
            <w:vAlign w:val="center"/>
          </w:tcPr>
          <w:p w14:paraId="3BFDC1DC" w14:textId="77777777" w:rsidR="000F5D12" w:rsidRPr="001C6D01" w:rsidRDefault="000F5D12" w:rsidP="000F5D12">
            <w:pPr>
              <w:spacing w:before="20" w:after="20"/>
              <w:jc w:val="center"/>
              <w:rPr>
                <w:rFonts w:cstheme="minorHAnsi"/>
                <w:sz w:val="20"/>
              </w:rPr>
            </w:pPr>
          </w:p>
        </w:tc>
        <w:tc>
          <w:tcPr>
            <w:tcW w:w="754" w:type="pct"/>
            <w:vMerge w:val="restart"/>
            <w:vAlign w:val="center"/>
          </w:tcPr>
          <w:p w14:paraId="1102DCA2" w14:textId="5B994AAE" w:rsidR="000F5D12" w:rsidRPr="001C6D01" w:rsidRDefault="000F5D12" w:rsidP="000F5D12">
            <w:pPr>
              <w:spacing w:before="20" w:after="20"/>
              <w:jc w:val="center"/>
              <w:rPr>
                <w:rFonts w:cstheme="minorHAnsi"/>
                <w:sz w:val="20"/>
              </w:rPr>
            </w:pPr>
            <w:r>
              <w:rPr>
                <w:rFonts w:cstheme="minorHAnsi"/>
                <w:sz w:val="20"/>
              </w:rPr>
              <w:t>Service Over Counter</w:t>
            </w:r>
          </w:p>
        </w:tc>
        <w:tc>
          <w:tcPr>
            <w:tcW w:w="625" w:type="pct"/>
            <w:vMerge w:val="restart"/>
            <w:vAlign w:val="center"/>
          </w:tcPr>
          <w:p w14:paraId="35D6DFCF" w14:textId="52F7FE6D" w:rsidR="000F5D12" w:rsidRPr="001C6D01" w:rsidRDefault="000F5D12" w:rsidP="000F5D12">
            <w:pPr>
              <w:spacing w:before="20" w:after="20"/>
              <w:jc w:val="center"/>
              <w:rPr>
                <w:sz w:val="20"/>
              </w:rPr>
            </w:pPr>
            <w:r>
              <w:rPr>
                <w:sz w:val="20"/>
              </w:rPr>
              <w:t>SOC</w:t>
            </w:r>
          </w:p>
        </w:tc>
        <w:tc>
          <w:tcPr>
            <w:tcW w:w="1014" w:type="pct"/>
            <w:vMerge w:val="restart"/>
            <w:vAlign w:val="center"/>
          </w:tcPr>
          <w:p w14:paraId="0F54E171" w14:textId="630E0722" w:rsidR="000F5D12" w:rsidRPr="001C6D01" w:rsidRDefault="000F5D12" w:rsidP="000F5D12">
            <w:pPr>
              <w:spacing w:before="20" w:after="20"/>
              <w:jc w:val="center"/>
              <w:rPr>
                <w:sz w:val="20"/>
              </w:rPr>
            </w:pPr>
            <w:r w:rsidRPr="008F06FA">
              <w:rPr>
                <w:noProof/>
                <w:sz w:val="20"/>
              </w:rPr>
              <w:drawing>
                <wp:inline distT="0" distB="0" distL="0" distR="0" wp14:anchorId="2CF691E9" wp14:editId="4DFFA29C">
                  <wp:extent cx="1057910" cy="6553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57910" cy="655320"/>
                          </a:xfrm>
                          <a:prstGeom prst="rect">
                            <a:avLst/>
                          </a:prstGeom>
                          <a:noFill/>
                          <a:ln>
                            <a:noFill/>
                          </a:ln>
                        </pic:spPr>
                      </pic:pic>
                    </a:graphicData>
                  </a:graphic>
                </wp:inline>
              </w:drawing>
            </w:r>
          </w:p>
        </w:tc>
        <w:tc>
          <w:tcPr>
            <w:tcW w:w="682" w:type="pct"/>
            <w:vAlign w:val="center"/>
          </w:tcPr>
          <w:p w14:paraId="46596C57" w14:textId="4644898B" w:rsidR="000F5D12" w:rsidRPr="001C6D01" w:rsidRDefault="000F5D12" w:rsidP="000F5D12">
            <w:pPr>
              <w:spacing w:before="20" w:after="20"/>
              <w:jc w:val="center"/>
              <w:rPr>
                <w:sz w:val="20"/>
              </w:rPr>
            </w:pPr>
            <w:r w:rsidRPr="001C6D01">
              <w:rPr>
                <w:sz w:val="20"/>
              </w:rPr>
              <w:t>M (38 °F)</w:t>
            </w:r>
          </w:p>
        </w:tc>
        <w:tc>
          <w:tcPr>
            <w:tcW w:w="547" w:type="pct"/>
            <w:vAlign w:val="center"/>
          </w:tcPr>
          <w:p w14:paraId="6F9E1999" w14:textId="3DEBA5FA" w:rsidR="000F5D12" w:rsidRPr="001C6D01" w:rsidRDefault="000F5D12" w:rsidP="000F5D12">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1F48F42D" w14:textId="00D5F004" w:rsidR="000F5D12" w:rsidRPr="0006462F" w:rsidRDefault="000F5D12" w:rsidP="000F5D12">
            <w:pPr>
              <w:spacing w:before="20" w:after="20"/>
              <w:jc w:val="center"/>
              <w:rPr>
                <w:sz w:val="20"/>
              </w:rPr>
            </w:pPr>
            <w:r w:rsidRPr="0006462F">
              <w:rPr>
                <w:sz w:val="20"/>
              </w:rPr>
              <w:t>SOC.RC.M</w:t>
            </w:r>
          </w:p>
        </w:tc>
      </w:tr>
      <w:tr w:rsidR="000F5D12" w:rsidRPr="00986B41" w14:paraId="76AB7188" w14:textId="77777777" w:rsidTr="008F06FA">
        <w:trPr>
          <w:trHeight w:val="564"/>
        </w:trPr>
        <w:tc>
          <w:tcPr>
            <w:tcW w:w="753" w:type="pct"/>
            <w:vMerge/>
            <w:vAlign w:val="center"/>
          </w:tcPr>
          <w:p w14:paraId="177A9066" w14:textId="77777777" w:rsidR="000F5D12" w:rsidRPr="001C6D01" w:rsidRDefault="000F5D12" w:rsidP="000F5D12">
            <w:pPr>
              <w:spacing w:before="20" w:after="20"/>
              <w:jc w:val="center"/>
              <w:rPr>
                <w:rFonts w:cstheme="minorHAnsi"/>
                <w:sz w:val="20"/>
              </w:rPr>
            </w:pPr>
          </w:p>
        </w:tc>
        <w:tc>
          <w:tcPr>
            <w:tcW w:w="754" w:type="pct"/>
            <w:vMerge/>
            <w:vAlign w:val="center"/>
          </w:tcPr>
          <w:p w14:paraId="54025419" w14:textId="77777777" w:rsidR="000F5D12" w:rsidRPr="001C6D01" w:rsidRDefault="000F5D12" w:rsidP="000F5D12">
            <w:pPr>
              <w:spacing w:before="20" w:after="20"/>
              <w:jc w:val="center"/>
              <w:rPr>
                <w:rFonts w:cstheme="minorHAnsi"/>
                <w:sz w:val="20"/>
              </w:rPr>
            </w:pPr>
          </w:p>
        </w:tc>
        <w:tc>
          <w:tcPr>
            <w:tcW w:w="625" w:type="pct"/>
            <w:vMerge/>
            <w:vAlign w:val="center"/>
          </w:tcPr>
          <w:p w14:paraId="78612203" w14:textId="77777777" w:rsidR="000F5D12" w:rsidRPr="001C6D01" w:rsidRDefault="000F5D12" w:rsidP="000F5D12">
            <w:pPr>
              <w:spacing w:before="20" w:after="20"/>
              <w:jc w:val="center"/>
              <w:rPr>
                <w:sz w:val="20"/>
              </w:rPr>
            </w:pPr>
          </w:p>
        </w:tc>
        <w:tc>
          <w:tcPr>
            <w:tcW w:w="1014" w:type="pct"/>
            <w:vMerge/>
            <w:vAlign w:val="center"/>
          </w:tcPr>
          <w:p w14:paraId="4162D29D" w14:textId="77777777" w:rsidR="000F5D12" w:rsidRPr="001C6D01" w:rsidRDefault="000F5D12" w:rsidP="000F5D12">
            <w:pPr>
              <w:spacing w:before="20" w:after="20"/>
              <w:jc w:val="center"/>
              <w:rPr>
                <w:sz w:val="20"/>
              </w:rPr>
            </w:pPr>
          </w:p>
        </w:tc>
        <w:tc>
          <w:tcPr>
            <w:tcW w:w="682" w:type="pct"/>
            <w:vAlign w:val="center"/>
          </w:tcPr>
          <w:p w14:paraId="07369EE4" w14:textId="4E5D652C" w:rsidR="000F5D12" w:rsidRPr="001C6D01" w:rsidRDefault="000F5D12" w:rsidP="000F5D12">
            <w:pPr>
              <w:spacing w:before="20" w:after="20"/>
              <w:jc w:val="center"/>
              <w:rPr>
                <w:sz w:val="20"/>
              </w:rPr>
            </w:pPr>
            <w:r w:rsidRPr="001C6D01">
              <w:rPr>
                <w:sz w:val="20"/>
              </w:rPr>
              <w:t>L (0 °F)</w:t>
            </w:r>
          </w:p>
        </w:tc>
        <w:tc>
          <w:tcPr>
            <w:tcW w:w="547" w:type="pct"/>
            <w:vAlign w:val="center"/>
          </w:tcPr>
          <w:p w14:paraId="557A39BD" w14:textId="144B33F3" w:rsidR="000F5D12" w:rsidRPr="001C6D01" w:rsidRDefault="000F5D12" w:rsidP="000F5D12">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4D05E83E" w14:textId="4AF6E140" w:rsidR="000F5D12" w:rsidRPr="0006462F" w:rsidRDefault="000F5D12" w:rsidP="000F5D12">
            <w:pPr>
              <w:spacing w:before="20" w:after="20"/>
              <w:jc w:val="center"/>
              <w:rPr>
                <w:sz w:val="20"/>
              </w:rPr>
            </w:pPr>
            <w:r w:rsidRPr="0006462F">
              <w:rPr>
                <w:sz w:val="20"/>
              </w:rPr>
              <w:t>SOC.RC.L</w:t>
            </w:r>
          </w:p>
        </w:tc>
      </w:tr>
      <w:tr w:rsidR="00271C7E" w:rsidRPr="00986B41" w14:paraId="039A9FAF" w14:textId="77777777" w:rsidTr="008F06FA">
        <w:trPr>
          <w:trHeight w:val="575"/>
        </w:trPr>
        <w:tc>
          <w:tcPr>
            <w:tcW w:w="753" w:type="pct"/>
            <w:vMerge w:val="restart"/>
            <w:vAlign w:val="center"/>
          </w:tcPr>
          <w:p w14:paraId="1EF5A25E" w14:textId="77777777" w:rsidR="00271C7E" w:rsidRDefault="00271C7E" w:rsidP="000F5D12">
            <w:pPr>
              <w:spacing w:before="20" w:after="20"/>
              <w:jc w:val="center"/>
              <w:rPr>
                <w:sz w:val="20"/>
              </w:rPr>
            </w:pPr>
          </w:p>
          <w:p w14:paraId="5062C3FE" w14:textId="77777777" w:rsidR="00271C7E" w:rsidRPr="001C6D01" w:rsidRDefault="00271C7E" w:rsidP="000F5D12">
            <w:pPr>
              <w:spacing w:before="20" w:after="20"/>
              <w:jc w:val="center"/>
              <w:rPr>
                <w:rFonts w:cstheme="minorHAnsi"/>
                <w:sz w:val="20"/>
              </w:rPr>
            </w:pPr>
            <w:r w:rsidRPr="001C6D01">
              <w:rPr>
                <w:sz w:val="20"/>
              </w:rPr>
              <w:t>Self-Contained (SC)</w:t>
            </w:r>
            <w:r w:rsidRPr="001C6D01">
              <w:rPr>
                <w:rFonts w:cstheme="minorHAnsi"/>
                <w:sz w:val="20"/>
              </w:rPr>
              <w:t xml:space="preserve"> </w:t>
            </w:r>
          </w:p>
        </w:tc>
        <w:tc>
          <w:tcPr>
            <w:tcW w:w="754" w:type="pct"/>
            <w:vMerge w:val="restart"/>
            <w:vAlign w:val="center"/>
          </w:tcPr>
          <w:p w14:paraId="7805CAED" w14:textId="77777777" w:rsidR="00271C7E" w:rsidRPr="001C6D01" w:rsidRDefault="00271C7E" w:rsidP="000F5D12">
            <w:pPr>
              <w:spacing w:before="20" w:after="20"/>
              <w:jc w:val="center"/>
              <w:rPr>
                <w:rFonts w:cstheme="minorHAnsi"/>
                <w:sz w:val="20"/>
              </w:rPr>
            </w:pPr>
            <w:r w:rsidRPr="001C6D01">
              <w:rPr>
                <w:rFonts w:cstheme="minorHAnsi"/>
                <w:sz w:val="20"/>
              </w:rPr>
              <w:t>Horizontal Closed</w:t>
            </w:r>
            <w:r>
              <w:rPr>
                <w:rFonts w:cstheme="minorHAnsi"/>
                <w:sz w:val="20"/>
              </w:rPr>
              <w:t xml:space="preserve"> </w:t>
            </w:r>
            <w:r w:rsidRPr="001C6D01">
              <w:rPr>
                <w:rFonts w:cstheme="minorHAnsi"/>
                <w:sz w:val="20"/>
              </w:rPr>
              <w:t>Transparent</w:t>
            </w:r>
          </w:p>
        </w:tc>
        <w:tc>
          <w:tcPr>
            <w:tcW w:w="625" w:type="pct"/>
            <w:vMerge w:val="restart"/>
            <w:vAlign w:val="center"/>
          </w:tcPr>
          <w:p w14:paraId="1146D645" w14:textId="77777777" w:rsidR="00271C7E" w:rsidRPr="001C6D01" w:rsidRDefault="00271C7E" w:rsidP="000F5D12">
            <w:pPr>
              <w:spacing w:before="20" w:after="20"/>
              <w:jc w:val="center"/>
              <w:rPr>
                <w:sz w:val="20"/>
              </w:rPr>
            </w:pPr>
            <w:r w:rsidRPr="001C6D01">
              <w:rPr>
                <w:sz w:val="20"/>
              </w:rPr>
              <w:t>HCT</w:t>
            </w:r>
          </w:p>
        </w:tc>
        <w:tc>
          <w:tcPr>
            <w:tcW w:w="1014" w:type="pct"/>
            <w:vMerge w:val="restart"/>
            <w:vAlign w:val="center"/>
          </w:tcPr>
          <w:p w14:paraId="6596C565" w14:textId="77777777" w:rsidR="00271C7E" w:rsidRPr="001C6D01" w:rsidRDefault="00271C7E" w:rsidP="000F5D12">
            <w:pPr>
              <w:spacing w:before="20" w:after="20"/>
              <w:jc w:val="center"/>
              <w:rPr>
                <w:sz w:val="20"/>
              </w:rPr>
            </w:pPr>
            <w:r>
              <w:rPr>
                <w:noProof/>
              </w:rPr>
              <w:drawing>
                <wp:anchor distT="0" distB="0" distL="114300" distR="114300" simplePos="0" relativeHeight="251671040" behindDoc="0" locked="0" layoutInCell="1" allowOverlap="1" wp14:anchorId="29FF61A0" wp14:editId="51772E33">
                  <wp:simplePos x="0" y="0"/>
                  <wp:positionH relativeFrom="column">
                    <wp:posOffset>243205</wp:posOffset>
                  </wp:positionH>
                  <wp:positionV relativeFrom="paragraph">
                    <wp:posOffset>-143510</wp:posOffset>
                  </wp:positionV>
                  <wp:extent cx="762000" cy="63881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62000" cy="638810"/>
                          </a:xfrm>
                          <a:prstGeom prst="rect">
                            <a:avLst/>
                          </a:prstGeom>
                        </pic:spPr>
                      </pic:pic>
                    </a:graphicData>
                  </a:graphic>
                  <wp14:sizeRelH relativeFrom="page">
                    <wp14:pctWidth>0</wp14:pctWidth>
                  </wp14:sizeRelH>
                  <wp14:sizeRelV relativeFrom="page">
                    <wp14:pctHeight>0</wp14:pctHeight>
                  </wp14:sizeRelV>
                </wp:anchor>
              </w:drawing>
            </w:r>
          </w:p>
        </w:tc>
        <w:tc>
          <w:tcPr>
            <w:tcW w:w="682" w:type="pct"/>
            <w:vAlign w:val="center"/>
          </w:tcPr>
          <w:p w14:paraId="641F9399" w14:textId="77777777" w:rsidR="00271C7E" w:rsidRPr="001C6D01" w:rsidRDefault="00271C7E" w:rsidP="000F5D12">
            <w:pPr>
              <w:spacing w:before="20" w:after="20"/>
              <w:jc w:val="center"/>
              <w:rPr>
                <w:sz w:val="20"/>
              </w:rPr>
            </w:pPr>
            <w:r w:rsidRPr="001C6D01">
              <w:rPr>
                <w:sz w:val="20"/>
              </w:rPr>
              <w:t>L (0 °F)</w:t>
            </w:r>
          </w:p>
        </w:tc>
        <w:tc>
          <w:tcPr>
            <w:tcW w:w="547" w:type="pct"/>
            <w:vAlign w:val="center"/>
          </w:tcPr>
          <w:p w14:paraId="2A6E419B" w14:textId="77777777" w:rsidR="00271C7E" w:rsidRPr="001C6D01" w:rsidRDefault="00271C7E" w:rsidP="000F5D12">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62D795CC" w14:textId="77777777" w:rsidR="00271C7E" w:rsidRPr="0006462F" w:rsidRDefault="00271C7E" w:rsidP="000F5D12">
            <w:pPr>
              <w:spacing w:before="20" w:after="20"/>
              <w:jc w:val="center"/>
              <w:rPr>
                <w:sz w:val="20"/>
              </w:rPr>
            </w:pPr>
            <w:r w:rsidRPr="0006462F">
              <w:rPr>
                <w:sz w:val="20"/>
              </w:rPr>
              <w:t>HCT.SC.L</w:t>
            </w:r>
          </w:p>
        </w:tc>
      </w:tr>
      <w:tr w:rsidR="00271C7E" w:rsidRPr="00986B41" w14:paraId="54AA2AE8" w14:textId="77777777" w:rsidTr="008F06FA">
        <w:trPr>
          <w:trHeight w:val="773"/>
        </w:trPr>
        <w:tc>
          <w:tcPr>
            <w:tcW w:w="753" w:type="pct"/>
            <w:vMerge/>
            <w:vAlign w:val="center"/>
          </w:tcPr>
          <w:p w14:paraId="5DECB79E" w14:textId="77777777" w:rsidR="00271C7E" w:rsidRDefault="00271C7E" w:rsidP="000F5D12">
            <w:pPr>
              <w:spacing w:before="20" w:after="20"/>
              <w:jc w:val="center"/>
              <w:rPr>
                <w:sz w:val="20"/>
              </w:rPr>
            </w:pPr>
          </w:p>
        </w:tc>
        <w:tc>
          <w:tcPr>
            <w:tcW w:w="754" w:type="pct"/>
            <w:vMerge/>
            <w:vAlign w:val="center"/>
          </w:tcPr>
          <w:p w14:paraId="5D4D0755" w14:textId="77777777" w:rsidR="00271C7E" w:rsidRPr="001C6D01" w:rsidRDefault="00271C7E" w:rsidP="000F5D12">
            <w:pPr>
              <w:spacing w:before="20" w:after="20"/>
              <w:jc w:val="center"/>
              <w:rPr>
                <w:rFonts w:cstheme="minorHAnsi"/>
                <w:sz w:val="20"/>
              </w:rPr>
            </w:pPr>
          </w:p>
        </w:tc>
        <w:tc>
          <w:tcPr>
            <w:tcW w:w="625" w:type="pct"/>
            <w:vMerge/>
            <w:vAlign w:val="center"/>
          </w:tcPr>
          <w:p w14:paraId="6F1F2709" w14:textId="77777777" w:rsidR="00271C7E" w:rsidRPr="001C6D01" w:rsidRDefault="00271C7E" w:rsidP="000F5D12">
            <w:pPr>
              <w:spacing w:before="20" w:after="20"/>
              <w:jc w:val="center"/>
              <w:rPr>
                <w:sz w:val="20"/>
              </w:rPr>
            </w:pPr>
          </w:p>
        </w:tc>
        <w:tc>
          <w:tcPr>
            <w:tcW w:w="1014" w:type="pct"/>
            <w:vMerge/>
            <w:vAlign w:val="center"/>
          </w:tcPr>
          <w:p w14:paraId="19297856" w14:textId="77777777" w:rsidR="00271C7E" w:rsidRPr="001C6D01" w:rsidRDefault="00271C7E" w:rsidP="000F5D12">
            <w:pPr>
              <w:spacing w:before="20" w:after="20"/>
              <w:jc w:val="center"/>
              <w:rPr>
                <w:sz w:val="20"/>
              </w:rPr>
            </w:pPr>
          </w:p>
        </w:tc>
        <w:tc>
          <w:tcPr>
            <w:tcW w:w="682" w:type="pct"/>
            <w:vAlign w:val="center"/>
          </w:tcPr>
          <w:p w14:paraId="66FA3CA7" w14:textId="77777777" w:rsidR="00271C7E" w:rsidRPr="001C6D01" w:rsidRDefault="00271C7E" w:rsidP="000F5D12">
            <w:pPr>
              <w:spacing w:before="20" w:after="20"/>
              <w:jc w:val="center"/>
              <w:rPr>
                <w:sz w:val="20"/>
              </w:rPr>
            </w:pPr>
            <w:r w:rsidRPr="0062622D">
              <w:rPr>
                <w:sz w:val="20"/>
              </w:rPr>
              <w:t xml:space="preserve">M (38 °F) </w:t>
            </w:r>
          </w:p>
        </w:tc>
        <w:tc>
          <w:tcPr>
            <w:tcW w:w="547" w:type="pct"/>
            <w:vAlign w:val="center"/>
          </w:tcPr>
          <w:p w14:paraId="28F5C276" w14:textId="77777777" w:rsidR="00271C7E" w:rsidRPr="001C6D01" w:rsidRDefault="00271C7E" w:rsidP="000F5D12">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77320301" w14:textId="77777777" w:rsidR="00271C7E" w:rsidRPr="0006462F" w:rsidRDefault="00271C7E" w:rsidP="000F5D12">
            <w:pPr>
              <w:spacing w:before="20" w:after="20"/>
              <w:jc w:val="center"/>
              <w:rPr>
                <w:sz w:val="20"/>
              </w:rPr>
            </w:pPr>
            <w:r w:rsidRPr="0006462F">
              <w:rPr>
                <w:sz w:val="20"/>
              </w:rPr>
              <w:t xml:space="preserve">HCT.SC.M </w:t>
            </w:r>
          </w:p>
        </w:tc>
      </w:tr>
      <w:tr w:rsidR="00271C7E" w:rsidRPr="00986B41" w14:paraId="1C9FF6E0" w14:textId="77777777" w:rsidTr="008F06FA">
        <w:trPr>
          <w:trHeight w:val="243"/>
        </w:trPr>
        <w:tc>
          <w:tcPr>
            <w:tcW w:w="753" w:type="pct"/>
            <w:vMerge/>
            <w:vAlign w:val="center"/>
          </w:tcPr>
          <w:p w14:paraId="1F3CF5B4" w14:textId="77777777" w:rsidR="00271C7E" w:rsidRPr="001C6D01" w:rsidRDefault="00271C7E" w:rsidP="000F5D12">
            <w:pPr>
              <w:spacing w:before="20" w:after="20"/>
              <w:jc w:val="center"/>
              <w:rPr>
                <w:rFonts w:cstheme="minorHAnsi"/>
                <w:sz w:val="20"/>
              </w:rPr>
            </w:pPr>
          </w:p>
        </w:tc>
        <w:tc>
          <w:tcPr>
            <w:tcW w:w="754" w:type="pct"/>
            <w:vMerge/>
            <w:vAlign w:val="center"/>
          </w:tcPr>
          <w:p w14:paraId="00AAB1B1" w14:textId="77777777" w:rsidR="00271C7E" w:rsidRPr="001C6D01" w:rsidRDefault="00271C7E" w:rsidP="000F5D12">
            <w:pPr>
              <w:spacing w:before="20" w:after="20"/>
              <w:jc w:val="center"/>
              <w:rPr>
                <w:rFonts w:cstheme="minorHAnsi"/>
                <w:sz w:val="20"/>
              </w:rPr>
            </w:pPr>
          </w:p>
        </w:tc>
        <w:tc>
          <w:tcPr>
            <w:tcW w:w="625" w:type="pct"/>
            <w:vMerge/>
            <w:vAlign w:val="center"/>
          </w:tcPr>
          <w:p w14:paraId="2F6F88BA" w14:textId="77777777" w:rsidR="00271C7E" w:rsidRPr="001C6D01" w:rsidRDefault="00271C7E" w:rsidP="000F5D12">
            <w:pPr>
              <w:spacing w:before="20" w:after="20"/>
              <w:jc w:val="center"/>
              <w:rPr>
                <w:sz w:val="20"/>
              </w:rPr>
            </w:pPr>
          </w:p>
        </w:tc>
        <w:tc>
          <w:tcPr>
            <w:tcW w:w="1014" w:type="pct"/>
            <w:vMerge/>
            <w:vAlign w:val="center"/>
          </w:tcPr>
          <w:p w14:paraId="64DD0E9A" w14:textId="77777777" w:rsidR="00271C7E" w:rsidRPr="001C6D01" w:rsidRDefault="00271C7E" w:rsidP="000F5D12">
            <w:pPr>
              <w:spacing w:before="20" w:after="20"/>
              <w:jc w:val="center"/>
              <w:rPr>
                <w:sz w:val="20"/>
              </w:rPr>
            </w:pPr>
          </w:p>
        </w:tc>
        <w:tc>
          <w:tcPr>
            <w:tcW w:w="682" w:type="pct"/>
            <w:vAlign w:val="center"/>
          </w:tcPr>
          <w:p w14:paraId="0F8616C8" w14:textId="77777777" w:rsidR="00271C7E" w:rsidRPr="001C6D01" w:rsidRDefault="00271C7E" w:rsidP="000F5D12">
            <w:pPr>
              <w:spacing w:before="20" w:after="20"/>
              <w:jc w:val="center"/>
              <w:rPr>
                <w:sz w:val="20"/>
              </w:rPr>
            </w:pPr>
            <w:r w:rsidRPr="001C6D01">
              <w:rPr>
                <w:sz w:val="20"/>
              </w:rPr>
              <w:t>I (-15 °F)</w:t>
            </w:r>
          </w:p>
        </w:tc>
        <w:tc>
          <w:tcPr>
            <w:tcW w:w="547" w:type="pct"/>
            <w:vAlign w:val="center"/>
          </w:tcPr>
          <w:p w14:paraId="2624B6F2" w14:textId="77777777" w:rsidR="00271C7E" w:rsidRPr="001C6D01" w:rsidRDefault="00271C7E" w:rsidP="000F5D12">
            <w:pPr>
              <w:spacing w:before="20" w:after="20"/>
              <w:jc w:val="center"/>
              <w:rPr>
                <w:sz w:val="20"/>
              </w:rPr>
            </w:pPr>
            <w:r w:rsidRPr="001C6D01">
              <w:rPr>
                <w:sz w:val="20"/>
              </w:rPr>
              <w:t>≤</w:t>
            </w:r>
            <w:r>
              <w:rPr>
                <w:sz w:val="20"/>
              </w:rPr>
              <w:t xml:space="preserve"> </w:t>
            </w:r>
            <w:r w:rsidRPr="001C6D01">
              <w:rPr>
                <w:sz w:val="20"/>
              </w:rPr>
              <w:t>-5 °F</w:t>
            </w:r>
          </w:p>
        </w:tc>
        <w:tc>
          <w:tcPr>
            <w:tcW w:w="625" w:type="pct"/>
            <w:vAlign w:val="center"/>
          </w:tcPr>
          <w:p w14:paraId="698B35E8" w14:textId="77777777" w:rsidR="00271C7E" w:rsidRPr="0006462F" w:rsidRDefault="00271C7E" w:rsidP="000F5D12">
            <w:pPr>
              <w:spacing w:before="20" w:after="20"/>
              <w:jc w:val="center"/>
              <w:rPr>
                <w:sz w:val="20"/>
              </w:rPr>
            </w:pPr>
            <w:r w:rsidRPr="0006462F">
              <w:rPr>
                <w:sz w:val="20"/>
              </w:rPr>
              <w:t>HCT.SC.I</w:t>
            </w:r>
          </w:p>
        </w:tc>
      </w:tr>
      <w:tr w:rsidR="00271C7E" w:rsidRPr="00986B41" w14:paraId="4FCEE5B2" w14:textId="77777777" w:rsidTr="008F06FA">
        <w:trPr>
          <w:trHeight w:val="638"/>
        </w:trPr>
        <w:tc>
          <w:tcPr>
            <w:tcW w:w="753" w:type="pct"/>
            <w:vMerge/>
            <w:vAlign w:val="center"/>
          </w:tcPr>
          <w:p w14:paraId="3FCEB0F0" w14:textId="77777777" w:rsidR="00271C7E" w:rsidRPr="001C6D01" w:rsidRDefault="00271C7E" w:rsidP="000F5D12">
            <w:pPr>
              <w:spacing w:before="20" w:after="20"/>
              <w:jc w:val="center"/>
              <w:rPr>
                <w:rFonts w:cstheme="minorHAnsi"/>
                <w:sz w:val="20"/>
              </w:rPr>
            </w:pPr>
          </w:p>
        </w:tc>
        <w:tc>
          <w:tcPr>
            <w:tcW w:w="754" w:type="pct"/>
            <w:vMerge w:val="restart"/>
            <w:vAlign w:val="center"/>
          </w:tcPr>
          <w:p w14:paraId="7766BE8D" w14:textId="77777777" w:rsidR="00271C7E" w:rsidRPr="001C6D01" w:rsidRDefault="00271C7E" w:rsidP="000F5D12">
            <w:pPr>
              <w:spacing w:before="20" w:after="20"/>
              <w:jc w:val="center"/>
              <w:rPr>
                <w:rFonts w:cstheme="minorHAnsi"/>
                <w:sz w:val="20"/>
              </w:rPr>
            </w:pPr>
            <w:r w:rsidRPr="001C6D01">
              <w:rPr>
                <w:rFonts w:cstheme="minorHAnsi"/>
                <w:sz w:val="20"/>
              </w:rPr>
              <w:t>Horizontal Closed</w:t>
            </w:r>
            <w:r>
              <w:rPr>
                <w:rFonts w:cstheme="minorHAnsi"/>
                <w:sz w:val="20"/>
              </w:rPr>
              <w:t xml:space="preserve"> </w:t>
            </w:r>
            <w:r w:rsidRPr="001C6D01">
              <w:rPr>
                <w:rFonts w:cstheme="minorHAnsi"/>
                <w:sz w:val="20"/>
              </w:rPr>
              <w:t>Solid</w:t>
            </w:r>
          </w:p>
        </w:tc>
        <w:tc>
          <w:tcPr>
            <w:tcW w:w="625" w:type="pct"/>
            <w:vMerge w:val="restart"/>
            <w:vAlign w:val="center"/>
          </w:tcPr>
          <w:p w14:paraId="3BA91F7C" w14:textId="77777777" w:rsidR="00271C7E" w:rsidRPr="001C6D01" w:rsidRDefault="00271C7E" w:rsidP="000F5D12">
            <w:pPr>
              <w:spacing w:before="20" w:after="20"/>
              <w:jc w:val="center"/>
              <w:rPr>
                <w:sz w:val="20"/>
              </w:rPr>
            </w:pPr>
            <w:r w:rsidRPr="001C6D01">
              <w:rPr>
                <w:sz w:val="20"/>
              </w:rPr>
              <w:t>HCS</w:t>
            </w:r>
          </w:p>
        </w:tc>
        <w:tc>
          <w:tcPr>
            <w:tcW w:w="1014" w:type="pct"/>
            <w:vMerge w:val="restart"/>
            <w:vAlign w:val="center"/>
          </w:tcPr>
          <w:p w14:paraId="6229A00D" w14:textId="77777777" w:rsidR="00271C7E" w:rsidRPr="001C6D01" w:rsidRDefault="00271C7E" w:rsidP="000F5D12">
            <w:pPr>
              <w:spacing w:before="20" w:after="20"/>
              <w:jc w:val="center"/>
              <w:rPr>
                <w:sz w:val="20"/>
              </w:rPr>
            </w:pPr>
            <w:r w:rsidRPr="001C6D01">
              <w:rPr>
                <w:rFonts w:eastAsiaTheme="minorEastAsia" w:cstheme="minorBidi"/>
                <w:sz w:val="20"/>
                <w:szCs w:val="24"/>
              </w:rPr>
              <w:object w:dxaOrig="1500" w:dyaOrig="1320" w14:anchorId="2310CD60">
                <v:shape id="_x0000_i1029" type="#_x0000_t75" style="width:80pt;height:64pt" o:ole="">
                  <v:imagedata r:id="rId24" o:title=""/>
                </v:shape>
                <o:OLEObject Type="Embed" ProgID="PBrush" ShapeID="_x0000_i1029" DrawAspect="Content" ObjectID="_1668145844" r:id="rId25"/>
              </w:object>
            </w:r>
          </w:p>
        </w:tc>
        <w:tc>
          <w:tcPr>
            <w:tcW w:w="682" w:type="pct"/>
            <w:vAlign w:val="center"/>
          </w:tcPr>
          <w:p w14:paraId="574B8412" w14:textId="77777777" w:rsidR="00271C7E" w:rsidRPr="001C6D01" w:rsidRDefault="00271C7E" w:rsidP="000F5D12">
            <w:pPr>
              <w:spacing w:before="20" w:after="20"/>
              <w:jc w:val="center"/>
              <w:rPr>
                <w:sz w:val="20"/>
              </w:rPr>
            </w:pPr>
            <w:r w:rsidRPr="001C6D01">
              <w:rPr>
                <w:sz w:val="20"/>
              </w:rPr>
              <w:t>M (38 °F)</w:t>
            </w:r>
          </w:p>
        </w:tc>
        <w:tc>
          <w:tcPr>
            <w:tcW w:w="547" w:type="pct"/>
            <w:vAlign w:val="center"/>
          </w:tcPr>
          <w:p w14:paraId="07168E52" w14:textId="77777777" w:rsidR="00271C7E" w:rsidRPr="001C6D01" w:rsidRDefault="00271C7E" w:rsidP="000F5D12">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075E82DC" w14:textId="77777777" w:rsidR="00271C7E" w:rsidRPr="0006462F" w:rsidRDefault="00271C7E" w:rsidP="000F5D12">
            <w:pPr>
              <w:spacing w:before="20" w:after="20"/>
              <w:jc w:val="center"/>
              <w:rPr>
                <w:sz w:val="20"/>
              </w:rPr>
            </w:pPr>
            <w:r w:rsidRPr="0006462F">
              <w:rPr>
                <w:sz w:val="20"/>
              </w:rPr>
              <w:t>HCS.SC.M</w:t>
            </w:r>
          </w:p>
        </w:tc>
      </w:tr>
      <w:tr w:rsidR="00271C7E" w:rsidRPr="00986B41" w14:paraId="2FED010B" w14:textId="77777777" w:rsidTr="008F06FA">
        <w:trPr>
          <w:trHeight w:val="243"/>
        </w:trPr>
        <w:tc>
          <w:tcPr>
            <w:tcW w:w="753" w:type="pct"/>
            <w:vMerge/>
            <w:vAlign w:val="center"/>
          </w:tcPr>
          <w:p w14:paraId="4F4ECB35" w14:textId="77777777" w:rsidR="00271C7E" w:rsidRPr="001C6D01" w:rsidRDefault="00271C7E" w:rsidP="000F5D12">
            <w:pPr>
              <w:spacing w:before="20" w:after="20"/>
              <w:jc w:val="center"/>
              <w:rPr>
                <w:rFonts w:cstheme="minorHAnsi"/>
                <w:sz w:val="20"/>
              </w:rPr>
            </w:pPr>
          </w:p>
        </w:tc>
        <w:tc>
          <w:tcPr>
            <w:tcW w:w="754" w:type="pct"/>
            <w:vMerge/>
            <w:vAlign w:val="center"/>
          </w:tcPr>
          <w:p w14:paraId="1CD69F86" w14:textId="77777777" w:rsidR="00271C7E" w:rsidRPr="001C6D01" w:rsidRDefault="00271C7E" w:rsidP="000F5D12">
            <w:pPr>
              <w:spacing w:before="20" w:after="20"/>
              <w:jc w:val="center"/>
              <w:rPr>
                <w:rFonts w:cstheme="minorHAnsi"/>
                <w:sz w:val="20"/>
              </w:rPr>
            </w:pPr>
          </w:p>
        </w:tc>
        <w:tc>
          <w:tcPr>
            <w:tcW w:w="625" w:type="pct"/>
            <w:vMerge/>
            <w:vAlign w:val="center"/>
          </w:tcPr>
          <w:p w14:paraId="70B2A767" w14:textId="77777777" w:rsidR="00271C7E" w:rsidRPr="001C6D01" w:rsidRDefault="00271C7E" w:rsidP="000F5D12">
            <w:pPr>
              <w:spacing w:before="20" w:after="20"/>
              <w:jc w:val="center"/>
              <w:rPr>
                <w:sz w:val="20"/>
              </w:rPr>
            </w:pPr>
          </w:p>
        </w:tc>
        <w:tc>
          <w:tcPr>
            <w:tcW w:w="1014" w:type="pct"/>
            <w:vMerge/>
            <w:vAlign w:val="center"/>
          </w:tcPr>
          <w:p w14:paraId="10CCFE73" w14:textId="77777777" w:rsidR="00271C7E" w:rsidRPr="001C6D01" w:rsidRDefault="00271C7E" w:rsidP="000F5D12">
            <w:pPr>
              <w:spacing w:before="20" w:after="20"/>
              <w:jc w:val="center"/>
              <w:rPr>
                <w:sz w:val="20"/>
              </w:rPr>
            </w:pPr>
          </w:p>
        </w:tc>
        <w:tc>
          <w:tcPr>
            <w:tcW w:w="682" w:type="pct"/>
            <w:vAlign w:val="center"/>
          </w:tcPr>
          <w:p w14:paraId="234A4823" w14:textId="77777777" w:rsidR="00271C7E" w:rsidRPr="001C6D01" w:rsidRDefault="00271C7E" w:rsidP="000F5D12">
            <w:pPr>
              <w:spacing w:before="20" w:after="20"/>
              <w:jc w:val="center"/>
              <w:rPr>
                <w:sz w:val="20"/>
              </w:rPr>
            </w:pPr>
            <w:r w:rsidRPr="001C6D01">
              <w:rPr>
                <w:sz w:val="20"/>
              </w:rPr>
              <w:t>L (0 °F)</w:t>
            </w:r>
          </w:p>
        </w:tc>
        <w:tc>
          <w:tcPr>
            <w:tcW w:w="547" w:type="pct"/>
            <w:vAlign w:val="center"/>
          </w:tcPr>
          <w:p w14:paraId="73BE2FB1" w14:textId="77777777" w:rsidR="00271C7E" w:rsidRPr="001C6D01" w:rsidRDefault="00271C7E" w:rsidP="000F5D12">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6238965B" w14:textId="77777777" w:rsidR="00271C7E" w:rsidRPr="0006462F" w:rsidRDefault="00271C7E" w:rsidP="000F5D12">
            <w:pPr>
              <w:spacing w:before="20" w:after="20"/>
              <w:jc w:val="center"/>
              <w:rPr>
                <w:sz w:val="20"/>
              </w:rPr>
            </w:pPr>
            <w:r w:rsidRPr="0006462F">
              <w:rPr>
                <w:sz w:val="20"/>
              </w:rPr>
              <w:t>HCS.SC.L</w:t>
            </w:r>
          </w:p>
        </w:tc>
      </w:tr>
      <w:tr w:rsidR="00271C7E" w:rsidRPr="00986B41" w14:paraId="74BFE93B" w14:textId="77777777" w:rsidTr="008F06FA">
        <w:trPr>
          <w:trHeight w:val="692"/>
        </w:trPr>
        <w:tc>
          <w:tcPr>
            <w:tcW w:w="753" w:type="pct"/>
            <w:vMerge/>
            <w:vAlign w:val="center"/>
          </w:tcPr>
          <w:p w14:paraId="324DD09F" w14:textId="77777777" w:rsidR="00271C7E" w:rsidRPr="001C6D01" w:rsidRDefault="00271C7E" w:rsidP="000F5D12">
            <w:pPr>
              <w:spacing w:before="20" w:after="20"/>
              <w:jc w:val="center"/>
              <w:rPr>
                <w:rFonts w:cstheme="minorHAnsi"/>
                <w:sz w:val="20"/>
              </w:rPr>
            </w:pPr>
          </w:p>
        </w:tc>
        <w:tc>
          <w:tcPr>
            <w:tcW w:w="754" w:type="pct"/>
            <w:vMerge w:val="restart"/>
            <w:vAlign w:val="center"/>
          </w:tcPr>
          <w:p w14:paraId="6E49447E" w14:textId="77777777" w:rsidR="00271C7E" w:rsidRPr="001C6D01" w:rsidRDefault="00271C7E" w:rsidP="000F5D12">
            <w:pPr>
              <w:spacing w:before="20" w:after="20"/>
              <w:jc w:val="center"/>
              <w:rPr>
                <w:rFonts w:cstheme="minorHAnsi"/>
                <w:sz w:val="20"/>
              </w:rPr>
            </w:pPr>
            <w:r>
              <w:rPr>
                <w:rFonts w:cstheme="minorHAnsi"/>
                <w:sz w:val="20"/>
              </w:rPr>
              <w:t>Vertical Closed Solid</w:t>
            </w:r>
          </w:p>
        </w:tc>
        <w:tc>
          <w:tcPr>
            <w:tcW w:w="625" w:type="pct"/>
            <w:vMerge w:val="restart"/>
            <w:vAlign w:val="center"/>
          </w:tcPr>
          <w:p w14:paraId="0BD582B9" w14:textId="77777777" w:rsidR="00271C7E" w:rsidRPr="001C6D01" w:rsidRDefault="00271C7E" w:rsidP="000F5D12">
            <w:pPr>
              <w:spacing w:before="20" w:after="20"/>
              <w:jc w:val="center"/>
              <w:rPr>
                <w:sz w:val="20"/>
              </w:rPr>
            </w:pPr>
            <w:r>
              <w:rPr>
                <w:sz w:val="20"/>
              </w:rPr>
              <w:t>VCS</w:t>
            </w:r>
          </w:p>
        </w:tc>
        <w:tc>
          <w:tcPr>
            <w:tcW w:w="1014" w:type="pct"/>
            <w:vMerge w:val="restart"/>
            <w:vAlign w:val="center"/>
          </w:tcPr>
          <w:p w14:paraId="1904AAE2" w14:textId="77777777" w:rsidR="00271C7E" w:rsidRPr="001C6D01" w:rsidRDefault="00271C7E" w:rsidP="000F5D12">
            <w:pPr>
              <w:spacing w:before="20" w:after="20"/>
              <w:jc w:val="center"/>
              <w:rPr>
                <w:sz w:val="20"/>
              </w:rPr>
            </w:pPr>
            <w:r>
              <w:rPr>
                <w:noProof/>
              </w:rPr>
              <w:drawing>
                <wp:inline distT="0" distB="0" distL="0" distR="0" wp14:anchorId="4A07E595" wp14:editId="2BFF5275">
                  <wp:extent cx="8286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828675" cy="800100"/>
                          </a:xfrm>
                          <a:prstGeom prst="rect">
                            <a:avLst/>
                          </a:prstGeom>
                        </pic:spPr>
                      </pic:pic>
                    </a:graphicData>
                  </a:graphic>
                </wp:inline>
              </w:drawing>
            </w:r>
          </w:p>
        </w:tc>
        <w:tc>
          <w:tcPr>
            <w:tcW w:w="682" w:type="pct"/>
            <w:vAlign w:val="center"/>
          </w:tcPr>
          <w:p w14:paraId="631C5201" w14:textId="77777777" w:rsidR="00271C7E" w:rsidRPr="001C6D01" w:rsidRDefault="00271C7E" w:rsidP="000F5D12">
            <w:pPr>
              <w:spacing w:before="20" w:after="20"/>
              <w:jc w:val="center"/>
              <w:rPr>
                <w:sz w:val="20"/>
              </w:rPr>
            </w:pPr>
            <w:r w:rsidRPr="001C6D01">
              <w:rPr>
                <w:sz w:val="20"/>
              </w:rPr>
              <w:t>M (38 °F)</w:t>
            </w:r>
          </w:p>
        </w:tc>
        <w:tc>
          <w:tcPr>
            <w:tcW w:w="547" w:type="pct"/>
            <w:vAlign w:val="center"/>
          </w:tcPr>
          <w:p w14:paraId="5082C927" w14:textId="77777777" w:rsidR="00271C7E" w:rsidRPr="001C6D01" w:rsidRDefault="00271C7E" w:rsidP="000F5D12">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446BC060" w14:textId="77777777" w:rsidR="00271C7E" w:rsidRPr="0006462F" w:rsidRDefault="00271C7E" w:rsidP="000F5D12">
            <w:pPr>
              <w:spacing w:before="20" w:after="20"/>
              <w:jc w:val="center"/>
              <w:rPr>
                <w:sz w:val="20"/>
              </w:rPr>
            </w:pPr>
            <w:r w:rsidRPr="0006462F">
              <w:rPr>
                <w:sz w:val="20"/>
              </w:rPr>
              <w:t>VCS.SC.M</w:t>
            </w:r>
          </w:p>
        </w:tc>
      </w:tr>
      <w:tr w:rsidR="00271C7E" w:rsidRPr="00986B41" w14:paraId="78D959BB" w14:textId="77777777" w:rsidTr="008F06FA">
        <w:trPr>
          <w:trHeight w:val="710"/>
        </w:trPr>
        <w:tc>
          <w:tcPr>
            <w:tcW w:w="753" w:type="pct"/>
            <w:vMerge/>
            <w:vAlign w:val="center"/>
          </w:tcPr>
          <w:p w14:paraId="01636BC8" w14:textId="77777777" w:rsidR="00271C7E" w:rsidRPr="001C6D01" w:rsidRDefault="00271C7E" w:rsidP="000F5D12">
            <w:pPr>
              <w:spacing w:before="20" w:after="20"/>
              <w:jc w:val="center"/>
              <w:rPr>
                <w:rFonts w:cstheme="minorHAnsi"/>
                <w:sz w:val="20"/>
              </w:rPr>
            </w:pPr>
          </w:p>
        </w:tc>
        <w:tc>
          <w:tcPr>
            <w:tcW w:w="754" w:type="pct"/>
            <w:vMerge/>
            <w:vAlign w:val="center"/>
          </w:tcPr>
          <w:p w14:paraId="5E2A8822" w14:textId="77777777" w:rsidR="00271C7E" w:rsidRPr="001C6D01" w:rsidRDefault="00271C7E" w:rsidP="000F5D12">
            <w:pPr>
              <w:spacing w:before="20" w:after="20"/>
              <w:jc w:val="center"/>
              <w:rPr>
                <w:rFonts w:cstheme="minorHAnsi"/>
                <w:sz w:val="20"/>
              </w:rPr>
            </w:pPr>
          </w:p>
        </w:tc>
        <w:tc>
          <w:tcPr>
            <w:tcW w:w="625" w:type="pct"/>
            <w:vMerge/>
            <w:vAlign w:val="center"/>
          </w:tcPr>
          <w:p w14:paraId="20B56E33" w14:textId="77777777" w:rsidR="00271C7E" w:rsidRPr="001C6D01" w:rsidRDefault="00271C7E" w:rsidP="000F5D12">
            <w:pPr>
              <w:spacing w:before="20" w:after="20"/>
              <w:jc w:val="center"/>
              <w:rPr>
                <w:sz w:val="20"/>
              </w:rPr>
            </w:pPr>
          </w:p>
        </w:tc>
        <w:tc>
          <w:tcPr>
            <w:tcW w:w="1014" w:type="pct"/>
            <w:vMerge/>
            <w:vAlign w:val="center"/>
          </w:tcPr>
          <w:p w14:paraId="6B516468" w14:textId="77777777" w:rsidR="00271C7E" w:rsidRPr="001C6D01" w:rsidRDefault="00271C7E" w:rsidP="000F5D12">
            <w:pPr>
              <w:spacing w:before="20" w:after="20"/>
              <w:jc w:val="center"/>
              <w:rPr>
                <w:sz w:val="20"/>
              </w:rPr>
            </w:pPr>
          </w:p>
        </w:tc>
        <w:tc>
          <w:tcPr>
            <w:tcW w:w="682" w:type="pct"/>
            <w:vAlign w:val="center"/>
          </w:tcPr>
          <w:p w14:paraId="2C85C75E" w14:textId="77777777" w:rsidR="00271C7E" w:rsidRPr="001C6D01" w:rsidRDefault="00271C7E" w:rsidP="000F5D12">
            <w:pPr>
              <w:spacing w:before="20" w:after="20"/>
              <w:jc w:val="center"/>
              <w:rPr>
                <w:sz w:val="20"/>
              </w:rPr>
            </w:pPr>
            <w:r w:rsidRPr="001C6D01">
              <w:rPr>
                <w:sz w:val="20"/>
              </w:rPr>
              <w:t>L (0 °F)</w:t>
            </w:r>
          </w:p>
        </w:tc>
        <w:tc>
          <w:tcPr>
            <w:tcW w:w="547" w:type="pct"/>
            <w:vAlign w:val="center"/>
          </w:tcPr>
          <w:p w14:paraId="233E360B" w14:textId="77777777" w:rsidR="00271C7E" w:rsidRPr="001C6D01" w:rsidRDefault="00271C7E" w:rsidP="000F5D12">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24AC161F" w14:textId="77777777" w:rsidR="00271C7E" w:rsidRPr="0006462F" w:rsidRDefault="00271C7E" w:rsidP="000F5D12">
            <w:pPr>
              <w:spacing w:before="20" w:after="20"/>
              <w:jc w:val="center"/>
              <w:rPr>
                <w:sz w:val="20"/>
              </w:rPr>
            </w:pPr>
            <w:r w:rsidRPr="0006462F">
              <w:rPr>
                <w:sz w:val="20"/>
              </w:rPr>
              <w:t>VCS.SC.L</w:t>
            </w:r>
          </w:p>
        </w:tc>
      </w:tr>
      <w:tr w:rsidR="00271C7E" w:rsidRPr="00986B41" w14:paraId="1F4C3183" w14:textId="77777777" w:rsidTr="008F06FA">
        <w:trPr>
          <w:trHeight w:val="710"/>
        </w:trPr>
        <w:tc>
          <w:tcPr>
            <w:tcW w:w="753" w:type="pct"/>
            <w:vMerge/>
            <w:vAlign w:val="center"/>
          </w:tcPr>
          <w:p w14:paraId="45545D29" w14:textId="77777777" w:rsidR="00271C7E" w:rsidRPr="001C6D01" w:rsidRDefault="00271C7E" w:rsidP="000F5D12">
            <w:pPr>
              <w:spacing w:before="20" w:after="20"/>
              <w:jc w:val="center"/>
              <w:rPr>
                <w:rFonts w:cstheme="minorHAnsi"/>
                <w:sz w:val="20"/>
              </w:rPr>
            </w:pPr>
          </w:p>
        </w:tc>
        <w:tc>
          <w:tcPr>
            <w:tcW w:w="754" w:type="pct"/>
            <w:vMerge w:val="restart"/>
            <w:vAlign w:val="center"/>
          </w:tcPr>
          <w:p w14:paraId="5086BC0B" w14:textId="77777777" w:rsidR="00271C7E" w:rsidRPr="001C6D01" w:rsidRDefault="00271C7E" w:rsidP="000F5D12">
            <w:pPr>
              <w:spacing w:before="20" w:after="20"/>
              <w:jc w:val="center"/>
              <w:rPr>
                <w:rFonts w:cstheme="minorHAnsi"/>
                <w:sz w:val="20"/>
              </w:rPr>
            </w:pPr>
            <w:r w:rsidRPr="00424FFC">
              <w:rPr>
                <w:rFonts w:cstheme="minorHAnsi"/>
                <w:sz w:val="20"/>
              </w:rPr>
              <w:t>Vertical Closed Transparent</w:t>
            </w:r>
            <w:r>
              <w:t xml:space="preserve"> </w:t>
            </w:r>
          </w:p>
        </w:tc>
        <w:tc>
          <w:tcPr>
            <w:tcW w:w="625" w:type="pct"/>
            <w:vMerge w:val="restart"/>
            <w:vAlign w:val="center"/>
          </w:tcPr>
          <w:p w14:paraId="5BE8DD24" w14:textId="77777777" w:rsidR="00271C7E" w:rsidRPr="00836308" w:rsidRDefault="00271C7E" w:rsidP="000F5D12">
            <w:pPr>
              <w:spacing w:before="20" w:after="20"/>
              <w:jc w:val="center"/>
              <w:rPr>
                <w:rFonts w:cstheme="minorHAnsi"/>
                <w:sz w:val="20"/>
              </w:rPr>
            </w:pPr>
            <w:r w:rsidRPr="00424FFC">
              <w:rPr>
                <w:rFonts w:cstheme="minorHAnsi"/>
                <w:sz w:val="20"/>
              </w:rPr>
              <w:t>VCT</w:t>
            </w:r>
          </w:p>
        </w:tc>
        <w:tc>
          <w:tcPr>
            <w:tcW w:w="1014" w:type="pct"/>
            <w:vMerge w:val="restart"/>
            <w:vAlign w:val="center"/>
          </w:tcPr>
          <w:p w14:paraId="0F78A48B" w14:textId="77777777" w:rsidR="00271C7E" w:rsidRPr="001C6D01" w:rsidRDefault="00271C7E" w:rsidP="000F5D12">
            <w:pPr>
              <w:spacing w:before="20" w:after="20"/>
              <w:jc w:val="center"/>
              <w:rPr>
                <w:sz w:val="20"/>
              </w:rPr>
            </w:pPr>
            <w:r>
              <w:rPr>
                <w:noProof/>
              </w:rPr>
              <w:drawing>
                <wp:inline distT="0" distB="0" distL="0" distR="0" wp14:anchorId="753F6138" wp14:editId="1B819EDA">
                  <wp:extent cx="866775" cy="781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866775" cy="781050"/>
                          </a:xfrm>
                          <a:prstGeom prst="rect">
                            <a:avLst/>
                          </a:prstGeom>
                        </pic:spPr>
                      </pic:pic>
                    </a:graphicData>
                  </a:graphic>
                </wp:inline>
              </w:drawing>
            </w:r>
          </w:p>
        </w:tc>
        <w:tc>
          <w:tcPr>
            <w:tcW w:w="682" w:type="pct"/>
            <w:vAlign w:val="center"/>
          </w:tcPr>
          <w:p w14:paraId="224D22A5" w14:textId="77777777" w:rsidR="00271C7E" w:rsidRPr="001C6D01" w:rsidRDefault="00271C7E" w:rsidP="000F5D12">
            <w:pPr>
              <w:spacing w:before="20" w:after="20"/>
              <w:jc w:val="center"/>
              <w:rPr>
                <w:sz w:val="20"/>
              </w:rPr>
            </w:pPr>
            <w:r w:rsidRPr="0062622D">
              <w:rPr>
                <w:sz w:val="20"/>
              </w:rPr>
              <w:t xml:space="preserve">M (38 °F) </w:t>
            </w:r>
          </w:p>
        </w:tc>
        <w:tc>
          <w:tcPr>
            <w:tcW w:w="547" w:type="pct"/>
            <w:vAlign w:val="center"/>
          </w:tcPr>
          <w:p w14:paraId="0436C59F" w14:textId="77777777" w:rsidR="00271C7E" w:rsidRPr="001C6D01" w:rsidRDefault="00271C7E" w:rsidP="000F5D12">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444828A6" w14:textId="77777777" w:rsidR="00271C7E" w:rsidRPr="0006462F" w:rsidRDefault="00271C7E" w:rsidP="000F5D12">
            <w:pPr>
              <w:spacing w:before="20" w:after="20"/>
              <w:jc w:val="center"/>
              <w:rPr>
                <w:sz w:val="20"/>
              </w:rPr>
            </w:pPr>
            <w:r w:rsidRPr="0006462F">
              <w:rPr>
                <w:sz w:val="20"/>
              </w:rPr>
              <w:t xml:space="preserve">VCT.SC.M </w:t>
            </w:r>
          </w:p>
        </w:tc>
      </w:tr>
      <w:tr w:rsidR="00271C7E" w:rsidRPr="00986B41" w14:paraId="4E1D4E93" w14:textId="77777777" w:rsidTr="008F06FA">
        <w:trPr>
          <w:trHeight w:val="710"/>
        </w:trPr>
        <w:tc>
          <w:tcPr>
            <w:tcW w:w="753" w:type="pct"/>
            <w:vMerge/>
            <w:vAlign w:val="center"/>
          </w:tcPr>
          <w:p w14:paraId="491433D3" w14:textId="77777777" w:rsidR="00271C7E" w:rsidRPr="001C6D01" w:rsidRDefault="00271C7E" w:rsidP="000F5D12">
            <w:pPr>
              <w:spacing w:before="20" w:after="20"/>
              <w:jc w:val="center"/>
              <w:rPr>
                <w:rFonts w:cstheme="minorHAnsi"/>
                <w:sz w:val="20"/>
              </w:rPr>
            </w:pPr>
          </w:p>
        </w:tc>
        <w:tc>
          <w:tcPr>
            <w:tcW w:w="754" w:type="pct"/>
            <w:vMerge/>
            <w:vAlign w:val="center"/>
          </w:tcPr>
          <w:p w14:paraId="2714F933" w14:textId="77777777" w:rsidR="00271C7E" w:rsidRPr="001C6D01" w:rsidRDefault="00271C7E" w:rsidP="000F5D12">
            <w:pPr>
              <w:spacing w:before="20" w:after="20"/>
              <w:jc w:val="center"/>
              <w:rPr>
                <w:rFonts w:cstheme="minorHAnsi"/>
                <w:sz w:val="20"/>
              </w:rPr>
            </w:pPr>
          </w:p>
        </w:tc>
        <w:tc>
          <w:tcPr>
            <w:tcW w:w="625" w:type="pct"/>
            <w:vMerge/>
            <w:vAlign w:val="center"/>
          </w:tcPr>
          <w:p w14:paraId="6AA8E14E" w14:textId="77777777" w:rsidR="00271C7E" w:rsidRPr="001C6D01" w:rsidRDefault="00271C7E" w:rsidP="000F5D12">
            <w:pPr>
              <w:spacing w:before="20" w:after="20"/>
              <w:jc w:val="center"/>
              <w:rPr>
                <w:sz w:val="20"/>
              </w:rPr>
            </w:pPr>
          </w:p>
        </w:tc>
        <w:tc>
          <w:tcPr>
            <w:tcW w:w="1014" w:type="pct"/>
            <w:vMerge/>
            <w:vAlign w:val="center"/>
          </w:tcPr>
          <w:p w14:paraId="6BD86DFC" w14:textId="77777777" w:rsidR="00271C7E" w:rsidRPr="001C6D01" w:rsidRDefault="00271C7E" w:rsidP="000F5D12">
            <w:pPr>
              <w:spacing w:before="20" w:after="20"/>
              <w:jc w:val="center"/>
              <w:rPr>
                <w:sz w:val="20"/>
              </w:rPr>
            </w:pPr>
          </w:p>
        </w:tc>
        <w:tc>
          <w:tcPr>
            <w:tcW w:w="682" w:type="pct"/>
            <w:vAlign w:val="center"/>
          </w:tcPr>
          <w:p w14:paraId="69005807" w14:textId="77777777" w:rsidR="00271C7E" w:rsidRPr="001C6D01" w:rsidRDefault="00271C7E" w:rsidP="000F5D12">
            <w:pPr>
              <w:spacing w:before="20" w:after="20"/>
              <w:jc w:val="center"/>
              <w:rPr>
                <w:sz w:val="20"/>
              </w:rPr>
            </w:pPr>
            <w:r w:rsidRPr="0062622D">
              <w:rPr>
                <w:sz w:val="20"/>
              </w:rPr>
              <w:t>L (0 °F)</w:t>
            </w:r>
          </w:p>
        </w:tc>
        <w:tc>
          <w:tcPr>
            <w:tcW w:w="547" w:type="pct"/>
            <w:vAlign w:val="center"/>
          </w:tcPr>
          <w:p w14:paraId="4D3DEB92" w14:textId="77777777" w:rsidR="00271C7E" w:rsidRPr="001C6D01" w:rsidRDefault="00271C7E" w:rsidP="000F5D12">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5B831083" w14:textId="77777777" w:rsidR="00271C7E" w:rsidRPr="0006462F" w:rsidRDefault="00271C7E" w:rsidP="000F5D12">
            <w:pPr>
              <w:spacing w:before="20" w:after="20"/>
              <w:jc w:val="center"/>
              <w:rPr>
                <w:sz w:val="20"/>
              </w:rPr>
            </w:pPr>
            <w:r w:rsidRPr="0006462F">
              <w:rPr>
                <w:sz w:val="20"/>
              </w:rPr>
              <w:t>VCT.SC.L</w:t>
            </w:r>
          </w:p>
        </w:tc>
      </w:tr>
      <w:tr w:rsidR="00271C7E" w:rsidRPr="00986B41" w14:paraId="75FB53F8" w14:textId="77777777" w:rsidTr="008F06FA">
        <w:trPr>
          <w:trHeight w:val="243"/>
        </w:trPr>
        <w:tc>
          <w:tcPr>
            <w:tcW w:w="753" w:type="pct"/>
            <w:vMerge/>
            <w:vAlign w:val="center"/>
          </w:tcPr>
          <w:p w14:paraId="6243FF03" w14:textId="77777777" w:rsidR="00271C7E" w:rsidRPr="001C6D01" w:rsidRDefault="00271C7E" w:rsidP="00A137A6">
            <w:pPr>
              <w:spacing w:before="20" w:after="20"/>
              <w:jc w:val="center"/>
              <w:rPr>
                <w:rFonts w:cstheme="minorHAnsi"/>
                <w:sz w:val="20"/>
              </w:rPr>
            </w:pPr>
          </w:p>
        </w:tc>
        <w:tc>
          <w:tcPr>
            <w:tcW w:w="754" w:type="pct"/>
            <w:vMerge w:val="restart"/>
            <w:vAlign w:val="center"/>
          </w:tcPr>
          <w:p w14:paraId="659B0428" w14:textId="09E68542" w:rsidR="00271C7E" w:rsidRPr="001C6D01" w:rsidRDefault="00271C7E" w:rsidP="00A137A6">
            <w:pPr>
              <w:spacing w:before="20" w:after="20"/>
              <w:jc w:val="center"/>
              <w:rPr>
                <w:rFonts w:cstheme="minorHAnsi"/>
                <w:sz w:val="20"/>
              </w:rPr>
            </w:pPr>
            <w:r>
              <w:rPr>
                <w:rFonts w:cstheme="minorHAnsi"/>
                <w:sz w:val="20"/>
              </w:rPr>
              <w:t>Service Over Counter</w:t>
            </w:r>
          </w:p>
        </w:tc>
        <w:tc>
          <w:tcPr>
            <w:tcW w:w="625" w:type="pct"/>
            <w:vMerge w:val="restart"/>
            <w:vAlign w:val="center"/>
          </w:tcPr>
          <w:p w14:paraId="06FB6C38" w14:textId="2EF9E856" w:rsidR="00271C7E" w:rsidRPr="001C6D01" w:rsidRDefault="00271C7E" w:rsidP="00A137A6">
            <w:pPr>
              <w:spacing w:before="20" w:after="20"/>
              <w:jc w:val="center"/>
              <w:rPr>
                <w:sz w:val="20"/>
              </w:rPr>
            </w:pPr>
            <w:r>
              <w:rPr>
                <w:sz w:val="20"/>
              </w:rPr>
              <w:t>SOC</w:t>
            </w:r>
          </w:p>
        </w:tc>
        <w:tc>
          <w:tcPr>
            <w:tcW w:w="1014" w:type="pct"/>
            <w:vMerge w:val="restart"/>
            <w:vAlign w:val="center"/>
          </w:tcPr>
          <w:p w14:paraId="76735338" w14:textId="71E856D3" w:rsidR="00271C7E" w:rsidRPr="001C6D01" w:rsidRDefault="00271C7E" w:rsidP="00A137A6">
            <w:pPr>
              <w:spacing w:before="20" w:after="20"/>
              <w:jc w:val="center"/>
              <w:rPr>
                <w:sz w:val="20"/>
              </w:rPr>
            </w:pPr>
            <w:r w:rsidRPr="008F06FA">
              <w:rPr>
                <w:noProof/>
                <w:sz w:val="20"/>
              </w:rPr>
              <w:drawing>
                <wp:inline distT="0" distB="0" distL="0" distR="0" wp14:anchorId="7957D343" wp14:editId="39509FDC">
                  <wp:extent cx="1057910" cy="65532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57910" cy="655320"/>
                          </a:xfrm>
                          <a:prstGeom prst="rect">
                            <a:avLst/>
                          </a:prstGeom>
                          <a:noFill/>
                          <a:ln>
                            <a:noFill/>
                          </a:ln>
                        </pic:spPr>
                      </pic:pic>
                    </a:graphicData>
                  </a:graphic>
                </wp:inline>
              </w:drawing>
            </w:r>
          </w:p>
        </w:tc>
        <w:tc>
          <w:tcPr>
            <w:tcW w:w="682" w:type="pct"/>
            <w:vAlign w:val="center"/>
          </w:tcPr>
          <w:p w14:paraId="414C71FF" w14:textId="67AE3F93" w:rsidR="00271C7E" w:rsidRPr="001C6D01" w:rsidRDefault="00271C7E" w:rsidP="00A137A6">
            <w:pPr>
              <w:spacing w:before="20" w:after="20"/>
              <w:jc w:val="center"/>
              <w:rPr>
                <w:sz w:val="20"/>
              </w:rPr>
            </w:pPr>
            <w:r w:rsidRPr="001C6D01">
              <w:rPr>
                <w:sz w:val="20"/>
              </w:rPr>
              <w:t>M (38 °F)</w:t>
            </w:r>
          </w:p>
        </w:tc>
        <w:tc>
          <w:tcPr>
            <w:tcW w:w="547" w:type="pct"/>
            <w:vAlign w:val="center"/>
          </w:tcPr>
          <w:p w14:paraId="2CBE17C8" w14:textId="72284CCF" w:rsidR="00271C7E" w:rsidRPr="001C6D01" w:rsidRDefault="00271C7E" w:rsidP="00A137A6">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13A32CD3" w14:textId="427C4ECB" w:rsidR="00271C7E" w:rsidRPr="0006462F" w:rsidRDefault="00271C7E" w:rsidP="00A137A6">
            <w:pPr>
              <w:spacing w:before="20" w:after="20"/>
              <w:jc w:val="center"/>
              <w:rPr>
                <w:sz w:val="20"/>
              </w:rPr>
            </w:pPr>
            <w:r w:rsidRPr="0006462F">
              <w:rPr>
                <w:sz w:val="20"/>
              </w:rPr>
              <w:t>SOC.SC.M</w:t>
            </w:r>
          </w:p>
        </w:tc>
      </w:tr>
      <w:tr w:rsidR="00271C7E" w:rsidRPr="00986B41" w14:paraId="60167A9F" w14:textId="77777777" w:rsidTr="008F06FA">
        <w:trPr>
          <w:trHeight w:val="243"/>
        </w:trPr>
        <w:tc>
          <w:tcPr>
            <w:tcW w:w="753" w:type="pct"/>
            <w:vMerge/>
            <w:vAlign w:val="center"/>
          </w:tcPr>
          <w:p w14:paraId="02984F7B" w14:textId="77777777" w:rsidR="00271C7E" w:rsidRPr="001C6D01" w:rsidRDefault="00271C7E" w:rsidP="00A137A6">
            <w:pPr>
              <w:spacing w:before="20" w:after="20"/>
              <w:jc w:val="center"/>
              <w:rPr>
                <w:rFonts w:cstheme="minorHAnsi"/>
                <w:sz w:val="20"/>
              </w:rPr>
            </w:pPr>
          </w:p>
        </w:tc>
        <w:tc>
          <w:tcPr>
            <w:tcW w:w="754" w:type="pct"/>
            <w:vMerge/>
            <w:vAlign w:val="center"/>
          </w:tcPr>
          <w:p w14:paraId="282DCAD2" w14:textId="77777777" w:rsidR="00271C7E" w:rsidRDefault="00271C7E" w:rsidP="00A137A6">
            <w:pPr>
              <w:spacing w:before="20" w:after="20"/>
              <w:jc w:val="center"/>
              <w:rPr>
                <w:rFonts w:cstheme="minorHAnsi"/>
                <w:sz w:val="20"/>
              </w:rPr>
            </w:pPr>
          </w:p>
        </w:tc>
        <w:tc>
          <w:tcPr>
            <w:tcW w:w="625" w:type="pct"/>
            <w:vMerge/>
            <w:vAlign w:val="center"/>
          </w:tcPr>
          <w:p w14:paraId="7FCAA96A" w14:textId="77777777" w:rsidR="00271C7E" w:rsidRDefault="00271C7E" w:rsidP="00A137A6">
            <w:pPr>
              <w:spacing w:before="20" w:after="20"/>
              <w:jc w:val="center"/>
              <w:rPr>
                <w:sz w:val="20"/>
              </w:rPr>
            </w:pPr>
          </w:p>
        </w:tc>
        <w:tc>
          <w:tcPr>
            <w:tcW w:w="1014" w:type="pct"/>
            <w:vMerge/>
            <w:vAlign w:val="center"/>
          </w:tcPr>
          <w:p w14:paraId="1CD23129" w14:textId="77777777" w:rsidR="00271C7E" w:rsidRPr="008F06FA" w:rsidRDefault="00271C7E" w:rsidP="00A137A6">
            <w:pPr>
              <w:spacing w:before="20" w:after="20"/>
              <w:jc w:val="center"/>
              <w:rPr>
                <w:noProof/>
                <w:sz w:val="20"/>
              </w:rPr>
            </w:pPr>
          </w:p>
        </w:tc>
        <w:tc>
          <w:tcPr>
            <w:tcW w:w="682" w:type="pct"/>
            <w:vAlign w:val="center"/>
          </w:tcPr>
          <w:p w14:paraId="46B4A9DE" w14:textId="596B0465" w:rsidR="00271C7E" w:rsidRPr="001C6D01" w:rsidRDefault="00271C7E" w:rsidP="00A137A6">
            <w:pPr>
              <w:spacing w:before="20" w:after="20"/>
              <w:jc w:val="center"/>
              <w:rPr>
                <w:sz w:val="20"/>
              </w:rPr>
            </w:pPr>
            <w:r w:rsidRPr="001C6D01">
              <w:rPr>
                <w:sz w:val="20"/>
              </w:rPr>
              <w:t>L (0 °F)</w:t>
            </w:r>
          </w:p>
        </w:tc>
        <w:tc>
          <w:tcPr>
            <w:tcW w:w="547" w:type="pct"/>
            <w:vAlign w:val="center"/>
          </w:tcPr>
          <w:p w14:paraId="1BE5776D" w14:textId="0F1794D1" w:rsidR="00271C7E" w:rsidRPr="001C6D01" w:rsidRDefault="00271C7E" w:rsidP="00A137A6">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4D2358E7" w14:textId="1FB4B97C" w:rsidR="00271C7E" w:rsidRPr="0006462F" w:rsidRDefault="00271C7E" w:rsidP="00A137A6">
            <w:pPr>
              <w:spacing w:before="20" w:after="20"/>
              <w:jc w:val="center"/>
              <w:rPr>
                <w:sz w:val="20"/>
              </w:rPr>
            </w:pPr>
            <w:r w:rsidRPr="0006462F">
              <w:rPr>
                <w:sz w:val="20"/>
              </w:rPr>
              <w:t>SCO.SC.L</w:t>
            </w:r>
          </w:p>
        </w:tc>
      </w:tr>
      <w:tr w:rsidR="00C65B94" w:rsidRPr="00986B41" w14:paraId="2B720ED2" w14:textId="77777777" w:rsidTr="008F06FA">
        <w:trPr>
          <w:trHeight w:val="243"/>
        </w:trPr>
        <w:tc>
          <w:tcPr>
            <w:tcW w:w="753" w:type="pct"/>
            <w:vMerge/>
            <w:vAlign w:val="center"/>
          </w:tcPr>
          <w:p w14:paraId="4AFBC818" w14:textId="77777777" w:rsidR="00C65B94" w:rsidRPr="001C6D01" w:rsidRDefault="00C65B94" w:rsidP="00C65B94">
            <w:pPr>
              <w:spacing w:before="20" w:after="20"/>
              <w:jc w:val="center"/>
              <w:rPr>
                <w:rFonts w:cstheme="minorHAnsi"/>
                <w:sz w:val="20"/>
              </w:rPr>
            </w:pPr>
          </w:p>
        </w:tc>
        <w:tc>
          <w:tcPr>
            <w:tcW w:w="754" w:type="pct"/>
            <w:vMerge w:val="restart"/>
            <w:vAlign w:val="center"/>
          </w:tcPr>
          <w:p w14:paraId="383819E2" w14:textId="566CFD88" w:rsidR="00C65B94" w:rsidRDefault="00C65B94" w:rsidP="00C65B94">
            <w:pPr>
              <w:spacing w:before="20" w:after="20"/>
              <w:jc w:val="center"/>
              <w:rPr>
                <w:rFonts w:cstheme="minorHAnsi"/>
                <w:sz w:val="20"/>
              </w:rPr>
            </w:pPr>
            <w:r w:rsidRPr="001C6D01">
              <w:rPr>
                <w:sz w:val="20"/>
              </w:rPr>
              <w:t>Semi vertical Open</w:t>
            </w:r>
          </w:p>
        </w:tc>
        <w:tc>
          <w:tcPr>
            <w:tcW w:w="625" w:type="pct"/>
            <w:vMerge w:val="restart"/>
            <w:vAlign w:val="center"/>
          </w:tcPr>
          <w:p w14:paraId="5B45D2C9" w14:textId="10C82D58" w:rsidR="00C65B94" w:rsidRDefault="00C65B94" w:rsidP="00C65B94">
            <w:pPr>
              <w:spacing w:before="20" w:after="20"/>
              <w:jc w:val="center"/>
              <w:rPr>
                <w:sz w:val="20"/>
              </w:rPr>
            </w:pPr>
            <w:r>
              <w:rPr>
                <w:sz w:val="20"/>
              </w:rPr>
              <w:t>SVO</w:t>
            </w:r>
          </w:p>
        </w:tc>
        <w:tc>
          <w:tcPr>
            <w:tcW w:w="1014" w:type="pct"/>
            <w:vMerge w:val="restart"/>
            <w:vAlign w:val="center"/>
          </w:tcPr>
          <w:p w14:paraId="20B44123" w14:textId="4AFACB53" w:rsidR="00C65B94" w:rsidRPr="008F06FA" w:rsidRDefault="00C65B94" w:rsidP="00C65B94">
            <w:pPr>
              <w:spacing w:before="20" w:after="20"/>
              <w:jc w:val="center"/>
              <w:rPr>
                <w:noProof/>
                <w:sz w:val="20"/>
              </w:rPr>
            </w:pPr>
            <w:r w:rsidRPr="001C6D01">
              <w:rPr>
                <w:rFonts w:eastAsiaTheme="minorEastAsia" w:cstheme="minorBidi"/>
                <w:sz w:val="20"/>
                <w:szCs w:val="24"/>
              </w:rPr>
              <w:object w:dxaOrig="1470" w:dyaOrig="990" w14:anchorId="537BAF24">
                <v:shape id="_x0000_i1030" type="#_x0000_t75" style="width:1in;height:50.5pt" o:ole="">
                  <v:imagedata r:id="rId16" o:title=""/>
                </v:shape>
                <o:OLEObject Type="Embed" ProgID="PBrush" ShapeID="_x0000_i1030" DrawAspect="Content" ObjectID="_1668145845" r:id="rId28"/>
              </w:object>
            </w:r>
          </w:p>
        </w:tc>
        <w:tc>
          <w:tcPr>
            <w:tcW w:w="682" w:type="pct"/>
            <w:vAlign w:val="center"/>
          </w:tcPr>
          <w:p w14:paraId="3E33A692" w14:textId="6FB889AD" w:rsidR="00C65B94" w:rsidRPr="001C6D01" w:rsidRDefault="00C65B94" w:rsidP="00C65B94">
            <w:pPr>
              <w:spacing w:before="20" w:after="20"/>
              <w:jc w:val="center"/>
              <w:rPr>
                <w:sz w:val="20"/>
              </w:rPr>
            </w:pPr>
            <w:r w:rsidRPr="0062622D">
              <w:rPr>
                <w:sz w:val="20"/>
              </w:rPr>
              <w:t xml:space="preserve">M (38 °F) </w:t>
            </w:r>
          </w:p>
        </w:tc>
        <w:tc>
          <w:tcPr>
            <w:tcW w:w="547" w:type="pct"/>
            <w:vAlign w:val="center"/>
          </w:tcPr>
          <w:p w14:paraId="5E89F41F" w14:textId="2E5BD265" w:rsidR="00C65B94" w:rsidRPr="001C6D01" w:rsidRDefault="00C65B94" w:rsidP="00C65B94">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6D67353B" w14:textId="3A0CCE28" w:rsidR="00C65B94" w:rsidRPr="0006462F" w:rsidRDefault="00447DBD" w:rsidP="00C65B94">
            <w:pPr>
              <w:spacing w:before="20" w:after="20"/>
              <w:jc w:val="center"/>
              <w:rPr>
                <w:sz w:val="20"/>
              </w:rPr>
            </w:pPr>
            <w:r w:rsidRPr="0006462F">
              <w:rPr>
                <w:sz w:val="20"/>
              </w:rPr>
              <w:t>SVO.</w:t>
            </w:r>
            <w:r w:rsidR="00C944E3" w:rsidRPr="0006462F">
              <w:rPr>
                <w:sz w:val="20"/>
              </w:rPr>
              <w:t>SC.M</w:t>
            </w:r>
          </w:p>
        </w:tc>
      </w:tr>
      <w:tr w:rsidR="00C65B94" w:rsidRPr="00986B41" w14:paraId="202838A9" w14:textId="77777777" w:rsidTr="0017286B">
        <w:trPr>
          <w:trHeight w:val="1169"/>
        </w:trPr>
        <w:tc>
          <w:tcPr>
            <w:tcW w:w="753" w:type="pct"/>
            <w:vMerge/>
            <w:vAlign w:val="center"/>
          </w:tcPr>
          <w:p w14:paraId="5BBCF329" w14:textId="77777777" w:rsidR="00C65B94" w:rsidRPr="001C6D01" w:rsidRDefault="00C65B94" w:rsidP="00C65B94">
            <w:pPr>
              <w:spacing w:before="20" w:after="20"/>
              <w:jc w:val="center"/>
              <w:rPr>
                <w:rFonts w:cstheme="minorHAnsi"/>
                <w:sz w:val="20"/>
              </w:rPr>
            </w:pPr>
          </w:p>
        </w:tc>
        <w:tc>
          <w:tcPr>
            <w:tcW w:w="754" w:type="pct"/>
            <w:vMerge/>
            <w:vAlign w:val="center"/>
          </w:tcPr>
          <w:p w14:paraId="7AC955C4" w14:textId="77777777" w:rsidR="00C65B94" w:rsidRDefault="00C65B94" w:rsidP="00C65B94">
            <w:pPr>
              <w:spacing w:before="20" w:after="20"/>
              <w:jc w:val="center"/>
              <w:rPr>
                <w:rFonts w:cstheme="minorHAnsi"/>
                <w:sz w:val="20"/>
              </w:rPr>
            </w:pPr>
          </w:p>
        </w:tc>
        <w:tc>
          <w:tcPr>
            <w:tcW w:w="625" w:type="pct"/>
            <w:vMerge/>
            <w:vAlign w:val="center"/>
          </w:tcPr>
          <w:p w14:paraId="18EC334C" w14:textId="77777777" w:rsidR="00C65B94" w:rsidRDefault="00C65B94" w:rsidP="00C65B94">
            <w:pPr>
              <w:spacing w:before="20" w:after="20"/>
              <w:jc w:val="center"/>
              <w:rPr>
                <w:sz w:val="20"/>
              </w:rPr>
            </w:pPr>
          </w:p>
        </w:tc>
        <w:tc>
          <w:tcPr>
            <w:tcW w:w="1014" w:type="pct"/>
            <w:vMerge/>
            <w:vAlign w:val="center"/>
          </w:tcPr>
          <w:p w14:paraId="38789E16" w14:textId="77777777" w:rsidR="00C65B94" w:rsidRPr="008F06FA" w:rsidRDefault="00C65B94" w:rsidP="00C65B94">
            <w:pPr>
              <w:spacing w:before="20" w:after="20"/>
              <w:jc w:val="center"/>
              <w:rPr>
                <w:noProof/>
                <w:sz w:val="20"/>
              </w:rPr>
            </w:pPr>
          </w:p>
        </w:tc>
        <w:tc>
          <w:tcPr>
            <w:tcW w:w="682" w:type="pct"/>
            <w:vAlign w:val="center"/>
          </w:tcPr>
          <w:p w14:paraId="065583AB" w14:textId="1586B460" w:rsidR="00C65B94" w:rsidRPr="001C6D01" w:rsidRDefault="00C65B94" w:rsidP="00C65B94">
            <w:pPr>
              <w:spacing w:before="20" w:after="20"/>
              <w:jc w:val="center"/>
              <w:rPr>
                <w:sz w:val="20"/>
              </w:rPr>
            </w:pPr>
            <w:r w:rsidRPr="0062622D">
              <w:rPr>
                <w:sz w:val="20"/>
              </w:rPr>
              <w:t>L (0 °F)</w:t>
            </w:r>
          </w:p>
        </w:tc>
        <w:tc>
          <w:tcPr>
            <w:tcW w:w="547" w:type="pct"/>
            <w:vAlign w:val="center"/>
          </w:tcPr>
          <w:p w14:paraId="19A8EA26" w14:textId="13A32BA2" w:rsidR="00C65B94" w:rsidRPr="001C6D01" w:rsidRDefault="00C65B94" w:rsidP="00C65B94">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002B8209" w14:textId="717D2F79" w:rsidR="00C65B94" w:rsidRPr="0006462F" w:rsidRDefault="00C944E3" w:rsidP="00C65B94">
            <w:pPr>
              <w:spacing w:before="20" w:after="20"/>
              <w:jc w:val="center"/>
              <w:rPr>
                <w:sz w:val="20"/>
              </w:rPr>
            </w:pPr>
            <w:r w:rsidRPr="0006462F">
              <w:rPr>
                <w:sz w:val="20"/>
              </w:rPr>
              <w:t>SVO.SC.L</w:t>
            </w:r>
          </w:p>
        </w:tc>
      </w:tr>
      <w:tr w:rsidR="00447DBD" w:rsidRPr="00986B41" w14:paraId="39F60A64" w14:textId="77777777" w:rsidTr="008F06FA">
        <w:trPr>
          <w:trHeight w:val="243"/>
        </w:trPr>
        <w:tc>
          <w:tcPr>
            <w:tcW w:w="753" w:type="pct"/>
            <w:vMerge/>
            <w:vAlign w:val="center"/>
          </w:tcPr>
          <w:p w14:paraId="47CEC636" w14:textId="77777777" w:rsidR="00447DBD" w:rsidRPr="001C6D01" w:rsidRDefault="00447DBD" w:rsidP="00447DBD">
            <w:pPr>
              <w:spacing w:before="20" w:after="20"/>
              <w:jc w:val="center"/>
              <w:rPr>
                <w:rFonts w:cstheme="minorHAnsi"/>
                <w:sz w:val="20"/>
              </w:rPr>
            </w:pPr>
          </w:p>
        </w:tc>
        <w:tc>
          <w:tcPr>
            <w:tcW w:w="754" w:type="pct"/>
            <w:vMerge w:val="restart"/>
            <w:vAlign w:val="center"/>
          </w:tcPr>
          <w:p w14:paraId="6296CFCB" w14:textId="00F96D55" w:rsidR="00447DBD" w:rsidRDefault="00447DBD" w:rsidP="00447DBD">
            <w:pPr>
              <w:spacing w:before="20" w:after="20"/>
              <w:jc w:val="center"/>
              <w:rPr>
                <w:rFonts w:cstheme="minorHAnsi"/>
                <w:sz w:val="20"/>
              </w:rPr>
            </w:pPr>
            <w:r>
              <w:rPr>
                <w:rFonts w:cstheme="minorHAnsi"/>
                <w:sz w:val="20"/>
              </w:rPr>
              <w:t>Vertical Open</w:t>
            </w:r>
          </w:p>
        </w:tc>
        <w:tc>
          <w:tcPr>
            <w:tcW w:w="625" w:type="pct"/>
            <w:vMerge w:val="restart"/>
            <w:vAlign w:val="center"/>
          </w:tcPr>
          <w:p w14:paraId="4EAE9834" w14:textId="50BF002A" w:rsidR="00447DBD" w:rsidRDefault="00447DBD" w:rsidP="00447DBD">
            <w:pPr>
              <w:spacing w:before="20" w:after="20"/>
              <w:jc w:val="center"/>
              <w:rPr>
                <w:sz w:val="20"/>
              </w:rPr>
            </w:pPr>
            <w:r>
              <w:rPr>
                <w:sz w:val="20"/>
              </w:rPr>
              <w:t>VOP</w:t>
            </w:r>
          </w:p>
        </w:tc>
        <w:tc>
          <w:tcPr>
            <w:tcW w:w="1014" w:type="pct"/>
            <w:vMerge w:val="restart"/>
            <w:vAlign w:val="center"/>
          </w:tcPr>
          <w:p w14:paraId="1B11ED97" w14:textId="60022402" w:rsidR="00447DBD" w:rsidRPr="008F06FA" w:rsidRDefault="00447DBD" w:rsidP="00447DBD">
            <w:pPr>
              <w:spacing w:before="20" w:after="20"/>
              <w:jc w:val="center"/>
              <w:rPr>
                <w:noProof/>
                <w:sz w:val="20"/>
              </w:rPr>
            </w:pPr>
            <w:r w:rsidRPr="00C65B94">
              <w:rPr>
                <w:noProof/>
                <w:sz w:val="20"/>
              </w:rPr>
              <w:drawing>
                <wp:inline distT="0" distB="0" distL="0" distR="0" wp14:anchorId="5316437A" wp14:editId="6CC516A2">
                  <wp:extent cx="1057910" cy="894080"/>
                  <wp:effectExtent l="0" t="0" r="889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57910" cy="894080"/>
                          </a:xfrm>
                          <a:prstGeom prst="rect">
                            <a:avLst/>
                          </a:prstGeom>
                          <a:noFill/>
                          <a:ln>
                            <a:noFill/>
                          </a:ln>
                        </pic:spPr>
                      </pic:pic>
                    </a:graphicData>
                  </a:graphic>
                </wp:inline>
              </w:drawing>
            </w:r>
          </w:p>
        </w:tc>
        <w:tc>
          <w:tcPr>
            <w:tcW w:w="682" w:type="pct"/>
            <w:vAlign w:val="center"/>
          </w:tcPr>
          <w:p w14:paraId="19D48683" w14:textId="3C569301" w:rsidR="00447DBD" w:rsidRPr="001C6D01" w:rsidRDefault="00447DBD" w:rsidP="00447DBD">
            <w:pPr>
              <w:spacing w:before="20" w:after="20"/>
              <w:jc w:val="center"/>
              <w:rPr>
                <w:sz w:val="20"/>
              </w:rPr>
            </w:pPr>
            <w:r w:rsidRPr="0062622D">
              <w:rPr>
                <w:sz w:val="20"/>
              </w:rPr>
              <w:t xml:space="preserve">M (38 °F) </w:t>
            </w:r>
          </w:p>
        </w:tc>
        <w:tc>
          <w:tcPr>
            <w:tcW w:w="547" w:type="pct"/>
            <w:vAlign w:val="center"/>
          </w:tcPr>
          <w:p w14:paraId="0938FC1A" w14:textId="15350D35" w:rsidR="00447DBD" w:rsidRPr="001C6D01" w:rsidRDefault="00447DBD" w:rsidP="00447DBD">
            <w:pPr>
              <w:spacing w:before="20" w:after="20"/>
              <w:jc w:val="center"/>
              <w:rPr>
                <w:sz w:val="20"/>
              </w:rPr>
            </w:pPr>
            <w:r w:rsidRPr="001C6D01">
              <w:rPr>
                <w:sz w:val="20"/>
              </w:rPr>
              <w:t>≥</w:t>
            </w:r>
            <w:r>
              <w:rPr>
                <w:sz w:val="20"/>
              </w:rPr>
              <w:t xml:space="preserve"> </w:t>
            </w:r>
            <w:r w:rsidRPr="001C6D01">
              <w:rPr>
                <w:sz w:val="20"/>
              </w:rPr>
              <w:t>32 °F</w:t>
            </w:r>
          </w:p>
        </w:tc>
        <w:tc>
          <w:tcPr>
            <w:tcW w:w="625" w:type="pct"/>
            <w:vAlign w:val="center"/>
          </w:tcPr>
          <w:p w14:paraId="6A2C20DF" w14:textId="695F803A" w:rsidR="00447DBD" w:rsidRPr="0006462F" w:rsidRDefault="00C944E3" w:rsidP="00447DBD">
            <w:pPr>
              <w:spacing w:before="20" w:after="20"/>
              <w:jc w:val="center"/>
              <w:rPr>
                <w:sz w:val="20"/>
              </w:rPr>
            </w:pPr>
            <w:r w:rsidRPr="0006462F">
              <w:rPr>
                <w:sz w:val="20"/>
              </w:rPr>
              <w:t>VOP.SC.M</w:t>
            </w:r>
          </w:p>
        </w:tc>
      </w:tr>
      <w:tr w:rsidR="00447DBD" w:rsidRPr="00986B41" w14:paraId="5E4B7FE3" w14:textId="77777777" w:rsidTr="008F06FA">
        <w:trPr>
          <w:trHeight w:val="243"/>
        </w:trPr>
        <w:tc>
          <w:tcPr>
            <w:tcW w:w="753" w:type="pct"/>
            <w:vMerge/>
            <w:vAlign w:val="center"/>
          </w:tcPr>
          <w:p w14:paraId="7E5F5A3C" w14:textId="77777777" w:rsidR="00447DBD" w:rsidRPr="001C6D01" w:rsidRDefault="00447DBD" w:rsidP="00447DBD">
            <w:pPr>
              <w:spacing w:before="20" w:after="20"/>
              <w:jc w:val="center"/>
              <w:rPr>
                <w:rFonts w:cstheme="minorHAnsi"/>
                <w:sz w:val="20"/>
              </w:rPr>
            </w:pPr>
          </w:p>
        </w:tc>
        <w:tc>
          <w:tcPr>
            <w:tcW w:w="754" w:type="pct"/>
            <w:vMerge/>
            <w:vAlign w:val="center"/>
          </w:tcPr>
          <w:p w14:paraId="2B15AD4E" w14:textId="77777777" w:rsidR="00447DBD" w:rsidRDefault="00447DBD" w:rsidP="00447DBD">
            <w:pPr>
              <w:spacing w:before="20" w:after="20"/>
              <w:jc w:val="center"/>
              <w:rPr>
                <w:rFonts w:cstheme="minorHAnsi"/>
                <w:sz w:val="20"/>
              </w:rPr>
            </w:pPr>
          </w:p>
        </w:tc>
        <w:tc>
          <w:tcPr>
            <w:tcW w:w="625" w:type="pct"/>
            <w:vMerge/>
            <w:vAlign w:val="center"/>
          </w:tcPr>
          <w:p w14:paraId="79A64666" w14:textId="77777777" w:rsidR="00447DBD" w:rsidRDefault="00447DBD" w:rsidP="00447DBD">
            <w:pPr>
              <w:spacing w:before="20" w:after="20"/>
              <w:jc w:val="center"/>
              <w:rPr>
                <w:sz w:val="20"/>
              </w:rPr>
            </w:pPr>
          </w:p>
        </w:tc>
        <w:tc>
          <w:tcPr>
            <w:tcW w:w="1014" w:type="pct"/>
            <w:vMerge/>
            <w:vAlign w:val="center"/>
          </w:tcPr>
          <w:p w14:paraId="7AE7B8AD" w14:textId="77777777" w:rsidR="00447DBD" w:rsidRPr="008F06FA" w:rsidRDefault="00447DBD" w:rsidP="00447DBD">
            <w:pPr>
              <w:spacing w:before="20" w:after="20"/>
              <w:jc w:val="center"/>
              <w:rPr>
                <w:noProof/>
                <w:sz w:val="20"/>
              </w:rPr>
            </w:pPr>
          </w:p>
        </w:tc>
        <w:tc>
          <w:tcPr>
            <w:tcW w:w="682" w:type="pct"/>
            <w:vAlign w:val="center"/>
          </w:tcPr>
          <w:p w14:paraId="26A4CE58" w14:textId="60527151" w:rsidR="00447DBD" w:rsidRPr="001C6D01" w:rsidRDefault="00447DBD" w:rsidP="00447DBD">
            <w:pPr>
              <w:spacing w:before="20" w:after="20"/>
              <w:jc w:val="center"/>
              <w:rPr>
                <w:sz w:val="20"/>
              </w:rPr>
            </w:pPr>
            <w:r w:rsidRPr="0062622D">
              <w:rPr>
                <w:sz w:val="20"/>
              </w:rPr>
              <w:t>L (0 °F)</w:t>
            </w:r>
          </w:p>
        </w:tc>
        <w:tc>
          <w:tcPr>
            <w:tcW w:w="547" w:type="pct"/>
            <w:vAlign w:val="center"/>
          </w:tcPr>
          <w:p w14:paraId="1B8CC570" w14:textId="2F485AA9" w:rsidR="00447DBD" w:rsidRPr="001C6D01" w:rsidRDefault="00447DBD" w:rsidP="00447DBD">
            <w:pPr>
              <w:spacing w:before="20" w:after="20"/>
              <w:jc w:val="center"/>
              <w:rPr>
                <w:sz w:val="20"/>
              </w:rPr>
            </w:pPr>
            <w:r w:rsidRPr="001C6D01">
              <w:rPr>
                <w:sz w:val="20"/>
              </w:rPr>
              <w:t>&lt;</w:t>
            </w:r>
            <w:r>
              <w:rPr>
                <w:sz w:val="20"/>
              </w:rPr>
              <w:t xml:space="preserve"> </w:t>
            </w:r>
            <w:r w:rsidRPr="001C6D01">
              <w:rPr>
                <w:sz w:val="20"/>
              </w:rPr>
              <w:t>32 °F</w:t>
            </w:r>
          </w:p>
        </w:tc>
        <w:tc>
          <w:tcPr>
            <w:tcW w:w="625" w:type="pct"/>
            <w:vAlign w:val="center"/>
          </w:tcPr>
          <w:p w14:paraId="027F0766" w14:textId="4B4FFC9F" w:rsidR="00447DBD" w:rsidRPr="0006462F" w:rsidRDefault="00C944E3" w:rsidP="00447DBD">
            <w:pPr>
              <w:spacing w:before="20" w:after="20"/>
              <w:jc w:val="center"/>
              <w:rPr>
                <w:sz w:val="20"/>
              </w:rPr>
            </w:pPr>
            <w:r w:rsidRPr="0006462F">
              <w:rPr>
                <w:sz w:val="20"/>
              </w:rPr>
              <w:t>VOP.SC.L</w:t>
            </w:r>
          </w:p>
        </w:tc>
      </w:tr>
    </w:tbl>
    <w:p w14:paraId="4F36C218" w14:textId="77777777" w:rsidR="00E03FAD" w:rsidRDefault="00E03FAD" w:rsidP="00B57761">
      <w:pPr>
        <w:rPr>
          <w:rFonts w:cs="Arial"/>
          <w:szCs w:val="22"/>
        </w:rPr>
      </w:pPr>
    </w:p>
    <w:p w14:paraId="02C0E0B9" w14:textId="77777777" w:rsidR="003A4642" w:rsidRPr="005F745E" w:rsidRDefault="00E03FAD" w:rsidP="00B57761">
      <w:r>
        <w:rPr>
          <w:rFonts w:cs="Arial"/>
          <w:szCs w:val="22"/>
        </w:rPr>
        <w:t>A 2009 US Department of Energy (DOE) study</w:t>
      </w:r>
      <w:r>
        <w:rPr>
          <w:rStyle w:val="FootnoteReference"/>
          <w:rFonts w:cs="Arial"/>
          <w:szCs w:val="22"/>
        </w:rPr>
        <w:footnoteReference w:id="2"/>
      </w:r>
      <w:r>
        <w:rPr>
          <w:rFonts w:cs="Arial"/>
          <w:szCs w:val="22"/>
        </w:rPr>
        <w:t xml:space="preserve"> documented the energy consumption of commercial refrigeration equipment in the U.S. and evaluated the energy savings potential of various technologies and energy efficiency measures. The study shows that commercial refrigeration represented 4.1% to 6.3% of total primary energy used in commercial buildings in 2008 and 2006, </w:t>
      </w:r>
      <w:proofErr w:type="gramStart"/>
      <w:r>
        <w:rPr>
          <w:rFonts w:cs="Arial"/>
          <w:szCs w:val="22"/>
        </w:rPr>
        <w:t>respectively;</w:t>
      </w:r>
      <w:proofErr w:type="gramEnd"/>
      <w:r>
        <w:rPr>
          <w:rFonts w:cs="Arial"/>
          <w:szCs w:val="22"/>
        </w:rPr>
        <w:t xml:space="preserve"> while 56% of the commercial refrigeration energy consumption was used for supermarket refrigeration in 2008. The study revealed that the energy-savings opportunities could result in a potential savings of 17% for display cases.</w:t>
      </w:r>
    </w:p>
    <w:p w14:paraId="4185295C" w14:textId="77777777" w:rsidR="003A4642" w:rsidRPr="003D03FA" w:rsidRDefault="00222274" w:rsidP="00056779">
      <w:r>
        <w:t>Refrigerated</w:t>
      </w:r>
      <w:r w:rsidR="003A4642" w:rsidRPr="003D03FA">
        <w:t xml:space="preserve"> display case efficiency is dependent on the selected design options for equipment manufacturing. When higher efficiency design options are selected, the display case will result in less </w:t>
      </w:r>
      <w:r w:rsidR="003A4642" w:rsidRPr="000627E6">
        <w:t xml:space="preserve">energy consumption. </w:t>
      </w:r>
      <w:r w:rsidR="00546442">
        <w:t>DOE Technical Support Document</w:t>
      </w:r>
      <w:r w:rsidR="00AE4B3D" w:rsidRPr="000627E6">
        <w:rPr>
          <w:rStyle w:val="FootnoteReference"/>
        </w:rPr>
        <w:footnoteReference w:id="3"/>
      </w:r>
      <w:r w:rsidR="003A4642" w:rsidRPr="000627E6">
        <w:t xml:space="preserve"> </w:t>
      </w:r>
      <w:r w:rsidR="000627E6" w:rsidRPr="000627E6">
        <w:t>provides</w:t>
      </w:r>
      <w:r w:rsidR="003A4642" w:rsidRPr="000627E6">
        <w:t xml:space="preserve"> details of</w:t>
      </w:r>
      <w:r w:rsidR="003A4642" w:rsidRPr="003D03FA">
        <w:t xml:space="preserve"> applicable design optio</w:t>
      </w:r>
      <w:r w:rsidR="00E03FAD">
        <w:t xml:space="preserve">ns of each display case class. </w:t>
      </w:r>
      <w:r w:rsidR="003A4642" w:rsidRPr="003D03FA">
        <w:t xml:space="preserve">For example, some design options for display cases </w:t>
      </w:r>
      <w:r w:rsidR="00056779">
        <w:t>include b</w:t>
      </w:r>
      <w:r w:rsidR="003A4642" w:rsidRPr="003D03FA">
        <w:t>rushless DC (a.k.a. ECM) motors and permanent split capacity evaporator fan motors, which are more efficient than the baseline shaded pole motors</w:t>
      </w:r>
      <w:r w:rsidR="00056779">
        <w:t xml:space="preserve">; and some include </w:t>
      </w:r>
      <w:r w:rsidR="003A4642" w:rsidRPr="003D03FA">
        <w:t>LED lighting, which is more efficient than T8 florescent lighting</w:t>
      </w:r>
      <w:r w:rsidR="00056779">
        <w:t xml:space="preserve">. </w:t>
      </w:r>
    </w:p>
    <w:p w14:paraId="3F35AA9C" w14:textId="77777777" w:rsidR="00BC5CC5" w:rsidRDefault="00BC5CC5" w:rsidP="008440D2">
      <w:bookmarkStart w:id="7" w:name="_Toc486490848"/>
      <w:bookmarkStart w:id="8" w:name="_Toc486580919"/>
    </w:p>
    <w:p w14:paraId="08DEE80F" w14:textId="77777777" w:rsidR="007D230B" w:rsidRPr="004B06E3" w:rsidRDefault="007D230B" w:rsidP="00A01960">
      <w:pPr>
        <w:pStyle w:val="eTRMHeading3"/>
      </w:pPr>
      <w:bookmarkStart w:id="9" w:name="_Toc56591400"/>
      <w:r w:rsidRPr="004B06E3">
        <w:t>Measure Case Description</w:t>
      </w:r>
      <w:bookmarkEnd w:id="7"/>
      <w:bookmarkEnd w:id="8"/>
      <w:bookmarkEnd w:id="9"/>
    </w:p>
    <w:p w14:paraId="6A794291" w14:textId="4F8AB8AB" w:rsidR="00A104F1" w:rsidRPr="00D061FF" w:rsidRDefault="00A104F1" w:rsidP="00047F4F">
      <w:r w:rsidRPr="0017286B">
        <w:t xml:space="preserve">This measure </w:t>
      </w:r>
      <w:r w:rsidR="009A547D" w:rsidRPr="0017286B">
        <w:t>is defined as</w:t>
      </w:r>
      <w:r w:rsidRPr="0017286B">
        <w:t xml:space="preserve"> the installation of </w:t>
      </w:r>
      <w:r w:rsidR="009A547D" w:rsidRPr="0017286B">
        <w:t xml:space="preserve">each of the </w:t>
      </w:r>
      <w:r w:rsidR="00D11742">
        <w:t>eighteen</w:t>
      </w:r>
      <w:r w:rsidR="00D11742" w:rsidRPr="0017286B">
        <w:t xml:space="preserve"> </w:t>
      </w:r>
      <w:r w:rsidRPr="0017286B">
        <w:t>classes of refrigerated display case</w:t>
      </w:r>
      <w:r w:rsidR="009A547D" w:rsidRPr="0017286B">
        <w:t xml:space="preserve">s shown in </w:t>
      </w:r>
      <w:r w:rsidR="00274C8C" w:rsidRPr="0017286B">
        <w:t>the Technology Summary</w:t>
      </w:r>
      <w:r w:rsidRPr="0017286B">
        <w:t xml:space="preserve">, representing </w:t>
      </w:r>
      <w:r w:rsidR="0006462F" w:rsidRPr="00DD34FA">
        <w:t>thirty</w:t>
      </w:r>
      <w:r w:rsidR="0006462F">
        <w:t>-five</w:t>
      </w:r>
      <w:r w:rsidRPr="0017286B">
        <w:t xml:space="preserve"> different configurations that exceed the Code of Federal Regulations standard</w:t>
      </w:r>
      <w:bookmarkStart w:id="10" w:name="_Ref879114"/>
      <w:r w:rsidR="00163021" w:rsidRPr="0017286B">
        <w:rPr>
          <w:rStyle w:val="FootnoteReference"/>
        </w:rPr>
        <w:footnoteReference w:id="4"/>
      </w:r>
      <w:bookmarkEnd w:id="10"/>
      <w:r w:rsidRPr="0017286B">
        <w:t xml:space="preserve"> </w:t>
      </w:r>
      <w:r w:rsidR="00274C8C" w:rsidRPr="0017286B">
        <w:t xml:space="preserve">by a minimum </w:t>
      </w:r>
      <w:r w:rsidR="008E28D3" w:rsidRPr="008E28D3">
        <w:t xml:space="preserve">prescribed percentage </w:t>
      </w:r>
      <w:r w:rsidR="00274C8C" w:rsidRPr="0017286B">
        <w:t>(</w:t>
      </w:r>
      <w:r w:rsidRPr="0017286B">
        <w:t>effective March 27, 2017</w:t>
      </w:r>
      <w:r w:rsidR="00274C8C" w:rsidRPr="0017286B">
        <w:t>)</w:t>
      </w:r>
      <w:r w:rsidRPr="0017286B">
        <w:t>.</w:t>
      </w:r>
      <w:r w:rsidRPr="00DD34FA">
        <w:t xml:space="preserve"> The </w:t>
      </w:r>
      <w:r w:rsidR="009A547D" w:rsidRPr="00DD34FA">
        <w:t>measure case, existing condition, code scenarios</w:t>
      </w:r>
      <w:r w:rsidRPr="00DD34FA">
        <w:t xml:space="preserve"> are </w:t>
      </w:r>
      <w:r w:rsidR="009A547D" w:rsidRPr="00DD34FA">
        <w:t xml:space="preserve">defined </w:t>
      </w:r>
      <w:r w:rsidRPr="00DD34FA">
        <w:t>below.</w:t>
      </w:r>
      <w:r w:rsidRPr="00D061FF">
        <w:t xml:space="preserve">  </w:t>
      </w:r>
    </w:p>
    <w:p w14:paraId="7765FACD" w14:textId="77777777" w:rsidR="00A104F1" w:rsidRPr="003D03FA" w:rsidRDefault="009A547D" w:rsidP="00407B6B">
      <w:pPr>
        <w:pStyle w:val="Caption"/>
      </w:pPr>
      <w:r>
        <w:lastRenderedPageBreak/>
        <w:t xml:space="preserve">Summary of </w:t>
      </w:r>
      <w:r w:rsidR="00A104F1" w:rsidRPr="003D03FA">
        <w:t>Measure C</w:t>
      </w:r>
      <w:r>
        <w:t>ase, Existing Condition, Code, and Industry Standard Practice Scenarios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09"/>
        <w:gridCol w:w="6541"/>
      </w:tblGrid>
      <w:tr w:rsidR="00A104F1" w:rsidRPr="005C1496" w14:paraId="09B7F69E" w14:textId="77777777" w:rsidTr="005C1496">
        <w:trPr>
          <w:cantSplit/>
          <w:trHeight w:val="20"/>
          <w:tblHeader/>
        </w:trPr>
        <w:tc>
          <w:tcPr>
            <w:tcW w:w="1502" w:type="pct"/>
            <w:shd w:val="clear" w:color="auto" w:fill="F2F2F2" w:themeFill="background1" w:themeFillShade="F2"/>
          </w:tcPr>
          <w:p w14:paraId="1E537EEA" w14:textId="77777777" w:rsidR="00A104F1" w:rsidRPr="005C1496" w:rsidRDefault="00A104F1" w:rsidP="005C1496">
            <w:pPr>
              <w:keepNext/>
              <w:keepLines/>
              <w:tabs>
                <w:tab w:val="num" w:pos="360"/>
              </w:tabs>
              <w:spacing w:before="20" w:after="20"/>
              <w:rPr>
                <w:rFonts w:cs="Arial"/>
                <w:b/>
                <w:szCs w:val="22"/>
              </w:rPr>
            </w:pPr>
            <w:r w:rsidRPr="005C1496">
              <w:rPr>
                <w:rFonts w:cs="Arial"/>
                <w:b/>
                <w:szCs w:val="22"/>
              </w:rPr>
              <w:t>Case</w:t>
            </w:r>
          </w:p>
        </w:tc>
        <w:tc>
          <w:tcPr>
            <w:tcW w:w="3498" w:type="pct"/>
            <w:shd w:val="clear" w:color="auto" w:fill="F2F2F2" w:themeFill="background1" w:themeFillShade="F2"/>
          </w:tcPr>
          <w:p w14:paraId="043894FA" w14:textId="77777777" w:rsidR="00A104F1" w:rsidRPr="005C1496" w:rsidRDefault="00A104F1" w:rsidP="005C1496">
            <w:pPr>
              <w:keepNext/>
              <w:keepLines/>
              <w:tabs>
                <w:tab w:val="num" w:pos="360"/>
              </w:tabs>
              <w:spacing w:before="20" w:after="20"/>
              <w:rPr>
                <w:rFonts w:cstheme="minorHAnsi"/>
                <w:b/>
                <w:szCs w:val="22"/>
              </w:rPr>
            </w:pPr>
            <w:r w:rsidRPr="005C1496">
              <w:rPr>
                <w:rFonts w:cstheme="minorHAnsi"/>
                <w:b/>
                <w:szCs w:val="22"/>
              </w:rPr>
              <w:t>Description of Typical Scenario</w:t>
            </w:r>
          </w:p>
        </w:tc>
      </w:tr>
      <w:tr w:rsidR="00A104F1" w:rsidRPr="00C71B88" w14:paraId="1FAB0998" w14:textId="77777777" w:rsidTr="005C1496">
        <w:trPr>
          <w:cantSplit/>
          <w:trHeight w:val="20"/>
        </w:trPr>
        <w:tc>
          <w:tcPr>
            <w:tcW w:w="1502" w:type="pct"/>
          </w:tcPr>
          <w:p w14:paraId="717CBCEC" w14:textId="77777777" w:rsidR="00A104F1" w:rsidRPr="005C1496" w:rsidRDefault="00A104F1" w:rsidP="005C1496">
            <w:pPr>
              <w:keepNext/>
              <w:keepLines/>
              <w:tabs>
                <w:tab w:val="num" w:pos="360"/>
              </w:tabs>
              <w:spacing w:before="20" w:after="20"/>
              <w:rPr>
                <w:rFonts w:cstheme="minorHAnsi"/>
                <w:szCs w:val="22"/>
              </w:rPr>
            </w:pPr>
            <w:r w:rsidRPr="005C1496">
              <w:rPr>
                <w:rFonts w:cs="Arial"/>
                <w:szCs w:val="22"/>
              </w:rPr>
              <w:t>Measure</w:t>
            </w:r>
            <w:r w:rsidR="009A547D">
              <w:rPr>
                <w:rFonts w:cs="Arial"/>
                <w:szCs w:val="22"/>
              </w:rPr>
              <w:t xml:space="preserve"> Case</w:t>
            </w:r>
          </w:p>
        </w:tc>
        <w:tc>
          <w:tcPr>
            <w:tcW w:w="3498" w:type="pct"/>
          </w:tcPr>
          <w:p w14:paraId="69A283A4" w14:textId="3B50055F" w:rsidR="00E66D0E" w:rsidRDefault="00297342">
            <w:pPr>
              <w:keepNext/>
              <w:keepLines/>
              <w:spacing w:before="20" w:after="20"/>
              <w:rPr>
                <w:szCs w:val="22"/>
                <w:highlight w:val="yellow"/>
              </w:rPr>
            </w:pPr>
            <w:r>
              <w:rPr>
                <w:szCs w:val="22"/>
              </w:rPr>
              <w:t>This measure includes d</w:t>
            </w:r>
            <w:r w:rsidR="00A104F1" w:rsidRPr="003D03FA">
              <w:rPr>
                <w:szCs w:val="22"/>
              </w:rPr>
              <w:t xml:space="preserve">isplay cases </w:t>
            </w:r>
            <w:r w:rsidR="00862462">
              <w:rPr>
                <w:szCs w:val="22"/>
              </w:rPr>
              <w:t xml:space="preserve">with </w:t>
            </w:r>
            <w:r>
              <w:rPr>
                <w:szCs w:val="22"/>
              </w:rPr>
              <w:t xml:space="preserve">a rated </w:t>
            </w:r>
            <w:r w:rsidRPr="00297342">
              <w:rPr>
                <w:szCs w:val="22"/>
              </w:rPr>
              <w:t xml:space="preserve">daily energy consumption (DEC) </w:t>
            </w:r>
            <w:r>
              <w:rPr>
                <w:szCs w:val="22"/>
              </w:rPr>
              <w:t xml:space="preserve">that is at least a minimum </w:t>
            </w:r>
            <w:r w:rsidR="003F2CE8">
              <w:rPr>
                <w:szCs w:val="22"/>
              </w:rPr>
              <w:t>prescribed percentage</w:t>
            </w:r>
            <w:r w:rsidR="00862462">
              <w:rPr>
                <w:szCs w:val="22"/>
              </w:rPr>
              <w:t xml:space="preserve"> </w:t>
            </w:r>
            <w:r>
              <w:rPr>
                <w:szCs w:val="22"/>
              </w:rPr>
              <w:t xml:space="preserve">less than the Maximum Daily Energy Consumption (MDEC), permissible under </w:t>
            </w:r>
            <w:r w:rsidR="009A547D">
              <w:rPr>
                <w:szCs w:val="22"/>
              </w:rPr>
              <w:t xml:space="preserve">the </w:t>
            </w:r>
            <w:r w:rsidR="00A104F1" w:rsidRPr="003D03FA">
              <w:rPr>
                <w:szCs w:val="22"/>
              </w:rPr>
              <w:t>Code of Federal Regulations standard, effective March 27, 2017</w:t>
            </w:r>
            <w:r>
              <w:rPr>
                <w:szCs w:val="22"/>
              </w:rPr>
              <w:t>.</w:t>
            </w:r>
            <w:r w:rsidR="00DA0860">
              <w:rPr>
                <w:szCs w:val="22"/>
              </w:rPr>
              <w:t xml:space="preserve"> </w:t>
            </w:r>
            <w:r w:rsidR="00C60BAE">
              <w:rPr>
                <w:szCs w:val="22"/>
              </w:rPr>
              <w:t xml:space="preserve">The prescribed percentage for each equipment class is identified below. </w:t>
            </w:r>
          </w:p>
          <w:p w14:paraId="2F38E2C7" w14:textId="77777777" w:rsidR="00E66D0E" w:rsidRDefault="00E66D0E">
            <w:pPr>
              <w:keepNext/>
              <w:keepLines/>
              <w:spacing w:before="20" w:after="20"/>
              <w:rPr>
                <w:szCs w:val="22"/>
                <w:highlight w:val="yellow"/>
              </w:rPr>
            </w:pPr>
          </w:p>
          <w:p w14:paraId="5968AC68" w14:textId="25B917C4" w:rsidR="00142DDB" w:rsidRPr="003D03FA" w:rsidRDefault="00142DDB" w:rsidP="00142DDB">
            <w:pPr>
              <w:keepNext/>
              <w:keepLines/>
              <w:spacing w:before="20" w:after="20"/>
              <w:rPr>
                <w:szCs w:val="22"/>
              </w:rPr>
            </w:pPr>
            <w:r>
              <w:rPr>
                <w:szCs w:val="22"/>
              </w:rPr>
              <w:t xml:space="preserve">Measure case selection (and performance levels) are based on </w:t>
            </w:r>
            <w:r w:rsidR="00C60BAE">
              <w:rPr>
                <w:szCs w:val="22"/>
              </w:rPr>
              <w:t xml:space="preserve">the average of all available equipment </w:t>
            </w:r>
            <w:r>
              <w:rPr>
                <w:szCs w:val="22"/>
              </w:rPr>
              <w:t>units performing better than Code</w:t>
            </w:r>
            <w:r w:rsidR="00F00235">
              <w:rPr>
                <w:szCs w:val="22"/>
              </w:rPr>
              <w:t xml:space="preserve"> (Title 10)</w:t>
            </w:r>
            <w:r w:rsidR="00C60BAE">
              <w:rPr>
                <w:szCs w:val="22"/>
              </w:rPr>
              <w:t xml:space="preserve">, which represents the </w:t>
            </w:r>
            <w:r w:rsidR="003C5630">
              <w:rPr>
                <w:szCs w:val="22"/>
              </w:rPr>
              <w:t>higher efficiency levels</w:t>
            </w:r>
            <w:r>
              <w:rPr>
                <w:szCs w:val="22"/>
              </w:rPr>
              <w:t xml:space="preserve">. </w:t>
            </w:r>
          </w:p>
        </w:tc>
      </w:tr>
      <w:tr w:rsidR="00A104F1" w:rsidRPr="00C71B88" w14:paraId="4BE25EE3" w14:textId="77777777" w:rsidTr="005C1496">
        <w:trPr>
          <w:cantSplit/>
          <w:trHeight w:val="20"/>
        </w:trPr>
        <w:tc>
          <w:tcPr>
            <w:tcW w:w="1502" w:type="pct"/>
          </w:tcPr>
          <w:p w14:paraId="7F9BD0B3" w14:textId="77777777" w:rsidR="00A104F1" w:rsidRPr="005C1496" w:rsidRDefault="00A104F1" w:rsidP="005C1496">
            <w:pPr>
              <w:keepNext/>
              <w:keepLines/>
              <w:tabs>
                <w:tab w:val="num" w:pos="360"/>
              </w:tabs>
              <w:spacing w:before="20" w:after="20"/>
              <w:rPr>
                <w:rFonts w:cstheme="minorHAnsi"/>
                <w:szCs w:val="22"/>
              </w:rPr>
            </w:pPr>
            <w:r w:rsidRPr="005C1496">
              <w:rPr>
                <w:rFonts w:cs="Arial"/>
                <w:szCs w:val="22"/>
              </w:rPr>
              <w:t>Existing Condition</w:t>
            </w:r>
          </w:p>
        </w:tc>
        <w:tc>
          <w:tcPr>
            <w:tcW w:w="3498" w:type="pct"/>
          </w:tcPr>
          <w:p w14:paraId="17A263FB" w14:textId="77777777" w:rsidR="00A104F1" w:rsidRPr="003D03FA" w:rsidRDefault="00A104F1" w:rsidP="009A547D">
            <w:pPr>
              <w:keepNext/>
              <w:keepLines/>
              <w:spacing w:before="20" w:after="20"/>
              <w:rPr>
                <w:i/>
                <w:szCs w:val="22"/>
              </w:rPr>
            </w:pPr>
            <w:r w:rsidRPr="003D03FA">
              <w:rPr>
                <w:szCs w:val="22"/>
              </w:rPr>
              <w:t>Display cases with efficiency minimally compliant with Code of Federal Regulations standard</w:t>
            </w:r>
            <w:r w:rsidRPr="00D70BB4">
              <w:rPr>
                <w:szCs w:val="22"/>
              </w:rPr>
              <w:t>, effective September 1, 2012</w:t>
            </w:r>
            <w:r w:rsidR="00421C2B">
              <w:rPr>
                <w:szCs w:val="22"/>
              </w:rPr>
              <w:t xml:space="preserve">. (See Code Requirements.) </w:t>
            </w:r>
            <w:r w:rsidR="009A547D">
              <w:rPr>
                <w:szCs w:val="22"/>
              </w:rPr>
              <w:t xml:space="preserve">The existing condition is </w:t>
            </w:r>
            <w:r w:rsidR="00303D5E" w:rsidRPr="003D03FA">
              <w:rPr>
                <w:szCs w:val="22"/>
              </w:rPr>
              <w:t xml:space="preserve">applicable to </w:t>
            </w:r>
            <w:r w:rsidR="00A01F17">
              <w:rPr>
                <w:szCs w:val="22"/>
              </w:rPr>
              <w:t xml:space="preserve">all </w:t>
            </w:r>
            <w:r w:rsidR="00303D5E" w:rsidRPr="003D03FA">
              <w:rPr>
                <w:szCs w:val="22"/>
              </w:rPr>
              <w:t>remote condensing units</w:t>
            </w:r>
            <w:r w:rsidR="009A547D">
              <w:rPr>
                <w:szCs w:val="22"/>
              </w:rPr>
              <w:t>,</w:t>
            </w:r>
            <w:r w:rsidR="00303D5E" w:rsidRPr="003D03FA">
              <w:rPr>
                <w:szCs w:val="22"/>
              </w:rPr>
              <w:t xml:space="preserve"> </w:t>
            </w:r>
            <w:r w:rsidR="00A01F17">
              <w:rPr>
                <w:szCs w:val="22"/>
              </w:rPr>
              <w:t xml:space="preserve">and </w:t>
            </w:r>
            <w:r w:rsidR="00484921">
              <w:rPr>
                <w:szCs w:val="22"/>
              </w:rPr>
              <w:t>only one</w:t>
            </w:r>
            <w:r w:rsidR="00303D5E" w:rsidRPr="003D03FA">
              <w:rPr>
                <w:szCs w:val="22"/>
              </w:rPr>
              <w:t xml:space="preserve"> </w:t>
            </w:r>
            <w:r w:rsidR="0024146B" w:rsidRPr="003D03FA">
              <w:rPr>
                <w:szCs w:val="22"/>
              </w:rPr>
              <w:t>self-conta</w:t>
            </w:r>
            <w:r w:rsidR="0076506C">
              <w:rPr>
                <w:szCs w:val="22"/>
              </w:rPr>
              <w:t xml:space="preserve">ined unit </w:t>
            </w:r>
            <w:r w:rsidR="00484921">
              <w:rPr>
                <w:szCs w:val="22"/>
              </w:rPr>
              <w:t xml:space="preserve">as </w:t>
            </w:r>
            <w:r w:rsidR="003905DD">
              <w:rPr>
                <w:szCs w:val="22"/>
              </w:rPr>
              <w:t xml:space="preserve">listed under September 1, 2012 effective date. </w:t>
            </w:r>
          </w:p>
        </w:tc>
      </w:tr>
      <w:tr w:rsidR="00A104F1" w:rsidRPr="00C71B88" w14:paraId="1448C8C3" w14:textId="77777777" w:rsidTr="005C1496">
        <w:trPr>
          <w:cantSplit/>
          <w:trHeight w:val="20"/>
        </w:trPr>
        <w:tc>
          <w:tcPr>
            <w:tcW w:w="1502" w:type="pct"/>
          </w:tcPr>
          <w:p w14:paraId="465F07FA" w14:textId="77777777" w:rsidR="00A104F1" w:rsidRPr="005C1496" w:rsidRDefault="00A104F1" w:rsidP="001C6D01">
            <w:pPr>
              <w:tabs>
                <w:tab w:val="num" w:pos="360"/>
              </w:tabs>
              <w:spacing w:before="20" w:after="20"/>
              <w:rPr>
                <w:rFonts w:cs="Arial"/>
                <w:szCs w:val="22"/>
              </w:rPr>
            </w:pPr>
            <w:r w:rsidRPr="005C1496">
              <w:rPr>
                <w:rFonts w:cs="Arial"/>
                <w:szCs w:val="22"/>
              </w:rPr>
              <w:t>Code/Standard</w:t>
            </w:r>
          </w:p>
        </w:tc>
        <w:tc>
          <w:tcPr>
            <w:tcW w:w="3498" w:type="pct"/>
          </w:tcPr>
          <w:p w14:paraId="46C1CFAC" w14:textId="77777777" w:rsidR="00A104F1" w:rsidRPr="003D03FA" w:rsidRDefault="00A104F1" w:rsidP="001C6D01">
            <w:pPr>
              <w:spacing w:before="20" w:after="20"/>
              <w:rPr>
                <w:szCs w:val="22"/>
                <w:highlight w:val="yellow"/>
              </w:rPr>
            </w:pPr>
            <w:r w:rsidRPr="003D03FA">
              <w:rPr>
                <w:szCs w:val="22"/>
              </w:rPr>
              <w:t>Display cases with efficiency minimally compliant with Code of Federal Regulation standards, effective March 27, 2017</w:t>
            </w:r>
            <w:r w:rsidR="00421C2B">
              <w:rPr>
                <w:szCs w:val="22"/>
              </w:rPr>
              <w:t>. See Code Requirements.</w:t>
            </w:r>
          </w:p>
        </w:tc>
      </w:tr>
      <w:tr w:rsidR="00A104F1" w:rsidRPr="00C71B88" w14:paraId="611307A1" w14:textId="77777777" w:rsidTr="005C1496">
        <w:trPr>
          <w:cantSplit/>
          <w:trHeight w:val="20"/>
        </w:trPr>
        <w:tc>
          <w:tcPr>
            <w:tcW w:w="1502" w:type="pct"/>
          </w:tcPr>
          <w:p w14:paraId="474A9B0F" w14:textId="77777777" w:rsidR="00A104F1" w:rsidRPr="005C1496" w:rsidRDefault="00A104F1" w:rsidP="001C6D01">
            <w:pPr>
              <w:tabs>
                <w:tab w:val="num" w:pos="360"/>
              </w:tabs>
              <w:spacing w:before="20" w:after="20"/>
              <w:rPr>
                <w:rFonts w:cstheme="minorHAnsi"/>
                <w:szCs w:val="22"/>
              </w:rPr>
            </w:pPr>
            <w:r w:rsidRPr="005C1496">
              <w:rPr>
                <w:rFonts w:cs="Arial"/>
                <w:szCs w:val="22"/>
              </w:rPr>
              <w:t>Industry Standard Practice</w:t>
            </w:r>
          </w:p>
        </w:tc>
        <w:tc>
          <w:tcPr>
            <w:tcW w:w="3498" w:type="pct"/>
          </w:tcPr>
          <w:p w14:paraId="142B6D76" w14:textId="77777777" w:rsidR="00A104F1" w:rsidRPr="003D03FA" w:rsidRDefault="009A547D" w:rsidP="001C6D01">
            <w:pPr>
              <w:spacing w:before="20" w:after="20"/>
              <w:rPr>
                <w:i/>
                <w:szCs w:val="22"/>
              </w:rPr>
            </w:pPr>
            <w:r>
              <w:rPr>
                <w:szCs w:val="22"/>
              </w:rPr>
              <w:t>Not applicable.</w:t>
            </w:r>
          </w:p>
        </w:tc>
      </w:tr>
    </w:tbl>
    <w:p w14:paraId="32189B6F" w14:textId="2A6F1EF0" w:rsidR="00596FE1" w:rsidRDefault="00596FE1" w:rsidP="00596FE1"/>
    <w:p w14:paraId="040294DD" w14:textId="5BC3CD7F" w:rsidR="00DA0860" w:rsidRPr="0017286B" w:rsidRDefault="00DA0860" w:rsidP="00596FE1">
      <w:pPr>
        <w:rPr>
          <w:b/>
          <w:bCs/>
        </w:rPr>
      </w:pPr>
      <w:r w:rsidRPr="0017286B">
        <w:rPr>
          <w:b/>
          <w:bCs/>
        </w:rPr>
        <w:t>Summary of Measure Offerings</w:t>
      </w:r>
    </w:p>
    <w:tbl>
      <w:tblPr>
        <w:tblStyle w:val="TableGrid"/>
        <w:tblW w:w="0" w:type="auto"/>
        <w:tblLook w:val="04A0" w:firstRow="1" w:lastRow="0" w:firstColumn="1" w:lastColumn="0" w:noHBand="0" w:noVBand="1"/>
      </w:tblPr>
      <w:tblGrid>
        <w:gridCol w:w="1075"/>
        <w:gridCol w:w="3960"/>
        <w:gridCol w:w="4315"/>
      </w:tblGrid>
      <w:tr w:rsidR="00C2049B" w14:paraId="03EDCD04" w14:textId="77777777" w:rsidTr="0017286B">
        <w:tc>
          <w:tcPr>
            <w:tcW w:w="1075" w:type="dxa"/>
          </w:tcPr>
          <w:p w14:paraId="73D23326" w14:textId="1326788E" w:rsidR="00C2049B" w:rsidRPr="0017286B" w:rsidRDefault="00C2049B" w:rsidP="00596FE1">
            <w:pPr>
              <w:rPr>
                <w:b/>
                <w:bCs/>
              </w:rPr>
            </w:pPr>
            <w:r w:rsidRPr="0017286B">
              <w:rPr>
                <w:b/>
                <w:bCs/>
              </w:rPr>
              <w:t>Offering ID</w:t>
            </w:r>
          </w:p>
        </w:tc>
        <w:tc>
          <w:tcPr>
            <w:tcW w:w="3960" w:type="dxa"/>
          </w:tcPr>
          <w:p w14:paraId="62012201" w14:textId="001E2CC8" w:rsidR="00C2049B" w:rsidRPr="0017286B" w:rsidRDefault="00C2049B" w:rsidP="0017286B">
            <w:pPr>
              <w:jc w:val="center"/>
              <w:rPr>
                <w:b/>
                <w:bCs/>
              </w:rPr>
            </w:pPr>
            <w:r w:rsidRPr="0017286B">
              <w:rPr>
                <w:b/>
                <w:bCs/>
              </w:rPr>
              <w:t>Existing Case</w:t>
            </w:r>
          </w:p>
        </w:tc>
        <w:tc>
          <w:tcPr>
            <w:tcW w:w="4315" w:type="dxa"/>
          </w:tcPr>
          <w:p w14:paraId="3F059D35" w14:textId="77777777" w:rsidR="00C2049B" w:rsidRDefault="00C2049B">
            <w:pPr>
              <w:jc w:val="center"/>
              <w:rPr>
                <w:b/>
                <w:bCs/>
              </w:rPr>
            </w:pPr>
            <w:r w:rsidRPr="0017286B">
              <w:rPr>
                <w:b/>
                <w:bCs/>
              </w:rPr>
              <w:t>Measure Description</w:t>
            </w:r>
          </w:p>
          <w:p w14:paraId="60825B1A" w14:textId="3138F9A5" w:rsidR="00DA0860" w:rsidRPr="0017286B" w:rsidRDefault="00DA0860" w:rsidP="0017286B">
            <w:pPr>
              <w:jc w:val="center"/>
              <w:rPr>
                <w:b/>
                <w:bCs/>
              </w:rPr>
            </w:pPr>
          </w:p>
        </w:tc>
      </w:tr>
      <w:tr w:rsidR="00C2049B" w14:paraId="586ACA19" w14:textId="77777777" w:rsidTr="0017286B">
        <w:tc>
          <w:tcPr>
            <w:tcW w:w="1075" w:type="dxa"/>
          </w:tcPr>
          <w:p w14:paraId="54DEBA64" w14:textId="635EA326" w:rsidR="00C2049B" w:rsidRDefault="00C2049B" w:rsidP="00C2049B">
            <w:r>
              <w:t>A</w:t>
            </w:r>
          </w:p>
        </w:tc>
        <w:tc>
          <w:tcPr>
            <w:tcW w:w="3960" w:type="dxa"/>
            <w:tcBorders>
              <w:top w:val="single" w:sz="4" w:space="0" w:color="auto"/>
              <w:left w:val="single" w:sz="4" w:space="0" w:color="auto"/>
              <w:bottom w:val="single" w:sz="4" w:space="0" w:color="auto"/>
              <w:right w:val="single" w:sz="4" w:space="0" w:color="auto"/>
            </w:tcBorders>
            <w:shd w:val="clear" w:color="000000" w:fill="FFF2CC"/>
            <w:vAlign w:val="bottom"/>
          </w:tcPr>
          <w:p w14:paraId="7FA1610C" w14:textId="1F7A62CD" w:rsidR="00C2049B" w:rsidRDefault="00C2049B" w:rsidP="00C2049B">
            <w:r>
              <w:rPr>
                <w:rFonts w:cs="Calibri Light"/>
                <w:color w:val="0070C0"/>
                <w:szCs w:val="22"/>
              </w:rPr>
              <w:t>Standard Display Case, VOP.RC.M,</w:t>
            </w:r>
            <w:bookmarkStart w:id="11" w:name="_GoBack"/>
            <w:bookmarkEnd w:id="11"/>
            <w:r>
              <w:rPr>
                <w:rFonts w:cs="Calibri Light"/>
                <w:color w:val="0070C0"/>
                <w:szCs w:val="22"/>
              </w:rPr>
              <w:t xml:space="preserve"> &lt; =30 ft2</w:t>
            </w:r>
          </w:p>
        </w:tc>
        <w:tc>
          <w:tcPr>
            <w:tcW w:w="4315" w:type="dxa"/>
            <w:tcBorders>
              <w:top w:val="single" w:sz="4" w:space="0" w:color="auto"/>
              <w:left w:val="single" w:sz="4" w:space="0" w:color="auto"/>
              <w:bottom w:val="single" w:sz="4" w:space="0" w:color="auto"/>
              <w:right w:val="single" w:sz="4" w:space="0" w:color="auto"/>
            </w:tcBorders>
            <w:shd w:val="clear" w:color="000000" w:fill="FFF2CC"/>
            <w:vAlign w:val="bottom"/>
          </w:tcPr>
          <w:p w14:paraId="6D14F794" w14:textId="5B51C9C6" w:rsidR="00C2049B" w:rsidRDefault="00C2049B" w:rsidP="00C2049B">
            <w:r>
              <w:rPr>
                <w:rFonts w:cs="Calibri Light"/>
                <w:color w:val="0070C0"/>
                <w:szCs w:val="22"/>
              </w:rPr>
              <w:t>16% Efficient, Display Case VOP.RC.M, &lt; =30 ft2</w:t>
            </w:r>
          </w:p>
        </w:tc>
      </w:tr>
      <w:tr w:rsidR="00C2049B" w14:paraId="06C9FD59" w14:textId="77777777" w:rsidTr="0017286B">
        <w:tc>
          <w:tcPr>
            <w:tcW w:w="1075" w:type="dxa"/>
          </w:tcPr>
          <w:p w14:paraId="13D7F920" w14:textId="40A5C9B0" w:rsidR="00C2049B" w:rsidRDefault="00C2049B" w:rsidP="00C2049B">
            <w:r>
              <w:t>B</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F7D0482" w14:textId="352D2006" w:rsidR="00C2049B" w:rsidRDefault="00C2049B" w:rsidP="00C2049B">
            <w:r>
              <w:rPr>
                <w:rFonts w:cs="Calibri Light"/>
                <w:color w:val="0070C0"/>
                <w:szCs w:val="22"/>
              </w:rPr>
              <w:t>Standard Display Case, VOP.RC.M, &gt; 30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5A22DECB" w14:textId="6BB69F99" w:rsidR="00C2049B" w:rsidRDefault="00C2049B" w:rsidP="00C2049B">
            <w:r>
              <w:rPr>
                <w:rFonts w:cs="Calibri Light"/>
                <w:color w:val="0070C0"/>
                <w:szCs w:val="22"/>
              </w:rPr>
              <w:t>16% Efficient, Display Case VOP.RC.M, &gt; 30 ft2</w:t>
            </w:r>
          </w:p>
        </w:tc>
      </w:tr>
      <w:tr w:rsidR="00C2049B" w14:paraId="599E609C" w14:textId="77777777" w:rsidTr="0017286B">
        <w:tc>
          <w:tcPr>
            <w:tcW w:w="1075" w:type="dxa"/>
          </w:tcPr>
          <w:p w14:paraId="0E08EC84" w14:textId="33373975" w:rsidR="00C2049B" w:rsidRDefault="00C2049B" w:rsidP="00C2049B">
            <w:r>
              <w:t>C</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07664BBD" w14:textId="1F325FF2" w:rsidR="00C2049B" w:rsidRDefault="00C2049B" w:rsidP="00C2049B">
            <w:r>
              <w:rPr>
                <w:rFonts w:cs="Calibri Light"/>
                <w:color w:val="0070C0"/>
                <w:szCs w:val="22"/>
              </w:rPr>
              <w:t>Standard Display Case, SVO.RC.M, &lt; =25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7A744595" w14:textId="58159549" w:rsidR="00C2049B" w:rsidRDefault="00C2049B" w:rsidP="00C2049B">
            <w:r>
              <w:rPr>
                <w:rFonts w:cs="Calibri Light"/>
                <w:color w:val="0070C0"/>
                <w:szCs w:val="22"/>
              </w:rPr>
              <w:t>12% Efficient, Display Case SVO.RC.M, &lt; =25 ft2</w:t>
            </w:r>
          </w:p>
        </w:tc>
      </w:tr>
      <w:tr w:rsidR="00C2049B" w14:paraId="30F53BD9" w14:textId="77777777" w:rsidTr="0017286B">
        <w:tc>
          <w:tcPr>
            <w:tcW w:w="1075" w:type="dxa"/>
          </w:tcPr>
          <w:p w14:paraId="2BED27B3" w14:textId="68A41325" w:rsidR="00C2049B" w:rsidRDefault="00C2049B" w:rsidP="00C2049B">
            <w:r>
              <w:t>D</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4418CE80" w14:textId="6A97919E" w:rsidR="00C2049B" w:rsidRDefault="00C2049B" w:rsidP="00C2049B">
            <w:r>
              <w:rPr>
                <w:rFonts w:cs="Calibri Light"/>
                <w:color w:val="0070C0"/>
                <w:szCs w:val="22"/>
              </w:rPr>
              <w:t>Standard Display Case, SVO.RC.M, &gt;25 ft2 and &lt;=75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06B6E17D" w14:textId="4F0CF027" w:rsidR="00C2049B" w:rsidRDefault="00C2049B" w:rsidP="00C2049B">
            <w:r>
              <w:rPr>
                <w:rFonts w:cs="Calibri Light"/>
                <w:color w:val="0070C0"/>
                <w:szCs w:val="22"/>
              </w:rPr>
              <w:t>12% Efficient, Display Case SVO.RC.M, &gt;25 ft2 and &lt;=75 ft2</w:t>
            </w:r>
          </w:p>
        </w:tc>
      </w:tr>
      <w:tr w:rsidR="00C2049B" w14:paraId="76D8A99D" w14:textId="77777777" w:rsidTr="0017286B">
        <w:tc>
          <w:tcPr>
            <w:tcW w:w="1075" w:type="dxa"/>
          </w:tcPr>
          <w:p w14:paraId="4B05B997" w14:textId="797F63E1" w:rsidR="00C2049B" w:rsidRDefault="00C2049B" w:rsidP="00C2049B">
            <w:r>
              <w:t>E</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35ADB3D1" w14:textId="53BA37E8" w:rsidR="00C2049B" w:rsidRDefault="00C2049B" w:rsidP="00C2049B">
            <w:r>
              <w:rPr>
                <w:rFonts w:cs="Calibri Light"/>
                <w:color w:val="0070C0"/>
                <w:szCs w:val="22"/>
              </w:rPr>
              <w:t>Standard Display Case, SVO.RC.M, &gt;75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63D82A39" w14:textId="3E65F1D1" w:rsidR="00C2049B" w:rsidRDefault="00C2049B" w:rsidP="00C2049B">
            <w:r>
              <w:rPr>
                <w:rFonts w:cs="Calibri Light"/>
                <w:color w:val="0070C0"/>
                <w:szCs w:val="22"/>
              </w:rPr>
              <w:t>12% Efficient, Display Case SVO.RC.M, &gt;75 ft2</w:t>
            </w:r>
          </w:p>
        </w:tc>
      </w:tr>
      <w:tr w:rsidR="00C2049B" w14:paraId="07C262E3" w14:textId="77777777" w:rsidTr="0017286B">
        <w:tc>
          <w:tcPr>
            <w:tcW w:w="1075" w:type="dxa"/>
          </w:tcPr>
          <w:p w14:paraId="70EFF53A" w14:textId="2727AF18" w:rsidR="00C2049B" w:rsidRDefault="00C2049B" w:rsidP="00C2049B">
            <w:r>
              <w:t>F</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409FA263" w14:textId="29FFB37F" w:rsidR="00C2049B" w:rsidRDefault="00C2049B" w:rsidP="00C2049B">
            <w:r>
              <w:rPr>
                <w:rFonts w:cs="Calibri Light"/>
                <w:color w:val="0070C0"/>
                <w:szCs w:val="22"/>
              </w:rPr>
              <w:t>Standard Display Case, HZO.RC.L, &lt;= 35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7259498" w14:textId="67FABD1C" w:rsidR="00C2049B" w:rsidRDefault="00C2049B" w:rsidP="00C2049B">
            <w:r>
              <w:rPr>
                <w:rFonts w:cs="Calibri Light"/>
                <w:color w:val="0070C0"/>
                <w:szCs w:val="22"/>
              </w:rPr>
              <w:t>10% Efficient, Display Case HZO.RC.L, &lt;= 35 ft2</w:t>
            </w:r>
          </w:p>
        </w:tc>
      </w:tr>
      <w:tr w:rsidR="00C2049B" w14:paraId="7DD9733D" w14:textId="77777777" w:rsidTr="0017286B">
        <w:tc>
          <w:tcPr>
            <w:tcW w:w="1075" w:type="dxa"/>
          </w:tcPr>
          <w:p w14:paraId="475865DF" w14:textId="3874E50A" w:rsidR="00C2049B" w:rsidRDefault="00C2049B" w:rsidP="00C2049B">
            <w:r>
              <w:t>G</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2548F9D3" w14:textId="5195DE69" w:rsidR="00C2049B" w:rsidRDefault="00C2049B" w:rsidP="00C2049B">
            <w:r>
              <w:rPr>
                <w:rFonts w:cs="Calibri Light"/>
                <w:color w:val="0070C0"/>
                <w:szCs w:val="22"/>
              </w:rPr>
              <w:t>Standard Display Case, HZO.RC.L, &gt; 35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7BA4D702" w14:textId="1935C160" w:rsidR="00C2049B" w:rsidRDefault="00C2049B" w:rsidP="00C2049B">
            <w:r>
              <w:rPr>
                <w:rFonts w:cs="Calibri Light"/>
                <w:color w:val="0070C0"/>
                <w:szCs w:val="22"/>
              </w:rPr>
              <w:t>10% Efficient, Display Case HZO.RC.L, &gt; 35 ft2</w:t>
            </w:r>
          </w:p>
        </w:tc>
      </w:tr>
      <w:tr w:rsidR="00C2049B" w14:paraId="2DB45D88" w14:textId="77777777" w:rsidTr="0017286B">
        <w:tc>
          <w:tcPr>
            <w:tcW w:w="1075" w:type="dxa"/>
          </w:tcPr>
          <w:p w14:paraId="752E5073" w14:textId="46A5FD48" w:rsidR="00C2049B" w:rsidRDefault="00C2049B" w:rsidP="00C2049B">
            <w:r>
              <w:lastRenderedPageBreak/>
              <w:t>H</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0CD151C1" w14:textId="7D8242B9" w:rsidR="00C2049B" w:rsidRDefault="00C2049B" w:rsidP="00C2049B">
            <w:r>
              <w:rPr>
                <w:rFonts w:cs="Calibri Light"/>
                <w:color w:val="0070C0"/>
                <w:szCs w:val="22"/>
              </w:rPr>
              <w:t>Standard Display Case, VCT.RC.M, &lt;= 15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553A03E5" w14:textId="3E48506C" w:rsidR="00C2049B" w:rsidRDefault="00C2049B" w:rsidP="00C2049B">
            <w:r>
              <w:rPr>
                <w:rFonts w:cs="Calibri Light"/>
                <w:color w:val="0070C0"/>
                <w:szCs w:val="22"/>
              </w:rPr>
              <w:t>21% Efficient, Display Case VCT.RC.M, &lt;= 15 ft2</w:t>
            </w:r>
          </w:p>
        </w:tc>
      </w:tr>
      <w:tr w:rsidR="00C2049B" w14:paraId="7CA42FA6" w14:textId="77777777" w:rsidTr="0017286B">
        <w:tc>
          <w:tcPr>
            <w:tcW w:w="1075" w:type="dxa"/>
          </w:tcPr>
          <w:p w14:paraId="7B74EF1D" w14:textId="68F28DE4" w:rsidR="00C2049B" w:rsidRDefault="00C2049B" w:rsidP="00C2049B">
            <w:r>
              <w:t>I</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0061B07" w14:textId="0946B895" w:rsidR="00C2049B" w:rsidRDefault="00C2049B" w:rsidP="00C2049B">
            <w:r>
              <w:rPr>
                <w:rFonts w:cs="Calibri Light"/>
                <w:color w:val="0070C0"/>
                <w:szCs w:val="22"/>
              </w:rPr>
              <w:t>Standard Display Case, VCT.RC.M, &gt;15 ft2 and &lt;=50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1547C02D" w14:textId="77422330" w:rsidR="00C2049B" w:rsidRDefault="00C2049B" w:rsidP="00C2049B">
            <w:r>
              <w:rPr>
                <w:rFonts w:cs="Calibri Light"/>
                <w:color w:val="0070C0"/>
                <w:szCs w:val="22"/>
              </w:rPr>
              <w:t>21% Efficient, Display Case VCT.RC.M, &gt;15 ft2 and &lt;=50 ft2</w:t>
            </w:r>
          </w:p>
        </w:tc>
      </w:tr>
      <w:tr w:rsidR="00C2049B" w14:paraId="0C5AE527" w14:textId="77777777" w:rsidTr="0017286B">
        <w:tc>
          <w:tcPr>
            <w:tcW w:w="1075" w:type="dxa"/>
          </w:tcPr>
          <w:p w14:paraId="41C4E113" w14:textId="3C3A62C2" w:rsidR="00C2049B" w:rsidRDefault="00C2049B" w:rsidP="00C2049B">
            <w:r>
              <w:t>J</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38FB73CA" w14:textId="7923EBE4" w:rsidR="00C2049B" w:rsidRDefault="00C2049B" w:rsidP="00C2049B">
            <w:r>
              <w:rPr>
                <w:rFonts w:cs="Calibri Light"/>
                <w:color w:val="0070C0"/>
                <w:szCs w:val="22"/>
              </w:rPr>
              <w:t>Standard Display Case, VCT.RC.M, &gt;50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195D6B7" w14:textId="3F4CCE1E" w:rsidR="00C2049B" w:rsidRDefault="00C2049B" w:rsidP="00C2049B">
            <w:r>
              <w:rPr>
                <w:rFonts w:cs="Calibri Light"/>
                <w:color w:val="0070C0"/>
                <w:szCs w:val="22"/>
              </w:rPr>
              <w:t>21% Efficient, Display Case VCT.RC.M, &gt;50 ft2</w:t>
            </w:r>
          </w:p>
        </w:tc>
      </w:tr>
      <w:tr w:rsidR="00C2049B" w14:paraId="7341DA23" w14:textId="77777777" w:rsidTr="0017286B">
        <w:tc>
          <w:tcPr>
            <w:tcW w:w="1075" w:type="dxa"/>
          </w:tcPr>
          <w:p w14:paraId="1615C543" w14:textId="26EB7AC7" w:rsidR="00C2049B" w:rsidRDefault="00C2049B" w:rsidP="00C2049B">
            <w:r>
              <w:t>K</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C3D68BD" w14:textId="721D79C5" w:rsidR="00C2049B" w:rsidRDefault="00C2049B" w:rsidP="00C2049B">
            <w:r>
              <w:rPr>
                <w:rFonts w:cs="Calibri Light"/>
                <w:color w:val="0070C0"/>
                <w:szCs w:val="22"/>
              </w:rPr>
              <w:t>Standard Display Case, VCT.RC.L, &lt;= 45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3AE80CDA" w14:textId="48D17579" w:rsidR="00C2049B" w:rsidRDefault="00996686" w:rsidP="00C2049B">
            <w:r>
              <w:rPr>
                <w:rFonts w:cs="Calibri Light"/>
                <w:color w:val="0070C0"/>
                <w:szCs w:val="22"/>
              </w:rPr>
              <w:t>7</w:t>
            </w:r>
            <w:r w:rsidR="00C2049B">
              <w:rPr>
                <w:rFonts w:cs="Calibri Light"/>
                <w:color w:val="0070C0"/>
                <w:szCs w:val="22"/>
              </w:rPr>
              <w:t>% Efficient, Display Case VCT.RC.L, &lt;= 45 ft2</w:t>
            </w:r>
          </w:p>
        </w:tc>
      </w:tr>
      <w:tr w:rsidR="00C2049B" w14:paraId="330713E1" w14:textId="77777777" w:rsidTr="0017286B">
        <w:tc>
          <w:tcPr>
            <w:tcW w:w="1075" w:type="dxa"/>
          </w:tcPr>
          <w:p w14:paraId="405A73D7" w14:textId="32D1F704" w:rsidR="00C2049B" w:rsidRDefault="00C2049B" w:rsidP="00C2049B">
            <w:r>
              <w:t>L</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691AD426" w14:textId="6FD562CA" w:rsidR="00C2049B" w:rsidRDefault="00C2049B" w:rsidP="00C2049B">
            <w:r>
              <w:rPr>
                <w:rFonts w:cs="Calibri Light"/>
                <w:color w:val="0070C0"/>
                <w:szCs w:val="22"/>
              </w:rPr>
              <w:t>Standard Display Case, VCT.RC.L, &gt; 45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54995DD" w14:textId="2694706F" w:rsidR="00C2049B" w:rsidRDefault="00996686" w:rsidP="00C2049B">
            <w:r>
              <w:rPr>
                <w:rFonts w:cs="Calibri Light"/>
                <w:color w:val="0070C0"/>
                <w:szCs w:val="22"/>
              </w:rPr>
              <w:t>7</w:t>
            </w:r>
            <w:r w:rsidR="00C2049B">
              <w:rPr>
                <w:rFonts w:cs="Calibri Light"/>
                <w:color w:val="0070C0"/>
                <w:szCs w:val="22"/>
              </w:rPr>
              <w:t>% Efficient, Display Case VCT.RC.L, &gt; 45 ft2</w:t>
            </w:r>
          </w:p>
        </w:tc>
      </w:tr>
      <w:tr w:rsidR="00C2049B" w14:paraId="0840CDFF" w14:textId="77777777" w:rsidTr="0017286B">
        <w:tc>
          <w:tcPr>
            <w:tcW w:w="1075" w:type="dxa"/>
          </w:tcPr>
          <w:p w14:paraId="31927B5A" w14:textId="3BFE1C4F" w:rsidR="00C2049B" w:rsidRDefault="00C2049B" w:rsidP="00C2049B">
            <w:r>
              <w:t>M</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B92F2A7" w14:textId="683BD2B2" w:rsidR="00C2049B" w:rsidRDefault="00C2049B" w:rsidP="00C2049B">
            <w:r>
              <w:rPr>
                <w:rFonts w:cs="Calibri Light"/>
                <w:color w:val="0070C0"/>
                <w:szCs w:val="22"/>
              </w:rPr>
              <w:t>Standard Display Case, HCT.SC.L, &lt;= 20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F73CB08" w14:textId="765968EA" w:rsidR="00C2049B" w:rsidRDefault="00C2049B" w:rsidP="00C2049B">
            <w:r>
              <w:rPr>
                <w:rFonts w:cs="Calibri Light"/>
                <w:color w:val="0070C0"/>
                <w:szCs w:val="22"/>
              </w:rPr>
              <w:t>18% Efficient, Display Case HCT.SC.L, &lt;= 20 ft3</w:t>
            </w:r>
          </w:p>
        </w:tc>
      </w:tr>
      <w:tr w:rsidR="00C2049B" w14:paraId="756DBBB3" w14:textId="77777777" w:rsidTr="0017286B">
        <w:tc>
          <w:tcPr>
            <w:tcW w:w="1075" w:type="dxa"/>
          </w:tcPr>
          <w:p w14:paraId="392B6C2E" w14:textId="1E90E3F5" w:rsidR="00C2049B" w:rsidRDefault="00C2049B" w:rsidP="00C2049B">
            <w:r>
              <w:t>N</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1E1F18F" w14:textId="5A0EE57B" w:rsidR="00C2049B" w:rsidRDefault="00C2049B" w:rsidP="00C2049B">
            <w:r>
              <w:rPr>
                <w:rFonts w:cs="Calibri Light"/>
                <w:color w:val="0070C0"/>
                <w:szCs w:val="22"/>
              </w:rPr>
              <w:t>Standard Display Case, HCT.SC.L, &gt; 20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63FCD469" w14:textId="5F1AC3AB" w:rsidR="00C2049B" w:rsidRDefault="00C2049B" w:rsidP="00C2049B">
            <w:r>
              <w:rPr>
                <w:rFonts w:cs="Calibri Light"/>
                <w:color w:val="0070C0"/>
                <w:szCs w:val="22"/>
              </w:rPr>
              <w:t>18% Efficient, Display Case HCT.SC.L, &gt; 20 ft3</w:t>
            </w:r>
          </w:p>
        </w:tc>
      </w:tr>
      <w:tr w:rsidR="00C2049B" w14:paraId="1BFDFD7C" w14:textId="77777777" w:rsidTr="0017286B">
        <w:tc>
          <w:tcPr>
            <w:tcW w:w="1075" w:type="dxa"/>
          </w:tcPr>
          <w:p w14:paraId="0DC6B007" w14:textId="3785FF01" w:rsidR="00C2049B" w:rsidRDefault="00C2049B" w:rsidP="00C2049B">
            <w:r>
              <w:t>P</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1A5BA289" w14:textId="08869254" w:rsidR="00C2049B" w:rsidRDefault="00C2049B" w:rsidP="00C2049B">
            <w:r>
              <w:rPr>
                <w:rFonts w:cs="Calibri Light"/>
                <w:color w:val="0070C0"/>
                <w:szCs w:val="22"/>
              </w:rPr>
              <w:t>Standard Display Case, HCS.SC.M, &lt;=100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87718C4" w14:textId="7BADB46A" w:rsidR="00C2049B" w:rsidRDefault="00C2049B" w:rsidP="00C2049B">
            <w:r>
              <w:rPr>
                <w:rFonts w:cs="Calibri Light"/>
                <w:color w:val="0070C0"/>
                <w:szCs w:val="22"/>
              </w:rPr>
              <w:t>23% Efficient, Display Case HCS.SC.M, &lt;=100 ft3</w:t>
            </w:r>
          </w:p>
        </w:tc>
      </w:tr>
      <w:tr w:rsidR="00C2049B" w14:paraId="7E7250E9" w14:textId="77777777" w:rsidTr="0017286B">
        <w:tc>
          <w:tcPr>
            <w:tcW w:w="1075" w:type="dxa"/>
          </w:tcPr>
          <w:p w14:paraId="21D00CCE" w14:textId="2A948A67" w:rsidR="00C2049B" w:rsidRDefault="00C2049B" w:rsidP="00C2049B">
            <w:r>
              <w:t>Q</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4587FC8C" w14:textId="2DA8508C" w:rsidR="00C2049B" w:rsidRDefault="00C2049B" w:rsidP="00C2049B">
            <w:r>
              <w:rPr>
                <w:rFonts w:cs="Calibri Light"/>
                <w:color w:val="0070C0"/>
                <w:szCs w:val="22"/>
              </w:rPr>
              <w:t>Standard Display Case, HCT.SC.I, &lt;= 10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0CF06C2A" w14:textId="197D7AA5" w:rsidR="00C2049B" w:rsidRDefault="00C2049B" w:rsidP="00C2049B">
            <w:r>
              <w:rPr>
                <w:rFonts w:cs="Calibri Light"/>
                <w:color w:val="0070C0"/>
                <w:szCs w:val="22"/>
              </w:rPr>
              <w:t>22% Efficient, Display Case HCT.SC.I, &lt;= 10 ft2</w:t>
            </w:r>
          </w:p>
        </w:tc>
      </w:tr>
      <w:tr w:rsidR="00C2049B" w14:paraId="2D3DD644" w14:textId="77777777" w:rsidTr="0017286B">
        <w:tc>
          <w:tcPr>
            <w:tcW w:w="1075" w:type="dxa"/>
          </w:tcPr>
          <w:p w14:paraId="0296E9B1" w14:textId="1F8E5E5F" w:rsidR="00C2049B" w:rsidRDefault="00C2049B" w:rsidP="00C2049B">
            <w:r>
              <w:t>R</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728FE644" w14:textId="2D26CEE5" w:rsidR="00C2049B" w:rsidRDefault="00C2049B" w:rsidP="00C2049B">
            <w:r>
              <w:rPr>
                <w:rFonts w:cs="Calibri Light"/>
                <w:color w:val="0070C0"/>
                <w:szCs w:val="22"/>
              </w:rPr>
              <w:t>Standard Display Case, HCT.SC.I, &gt; 10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1581BD0A" w14:textId="7DD6CC4D" w:rsidR="00C2049B" w:rsidRDefault="00C2049B" w:rsidP="00C2049B">
            <w:r>
              <w:rPr>
                <w:rFonts w:cs="Calibri Light"/>
                <w:color w:val="0070C0"/>
                <w:szCs w:val="22"/>
              </w:rPr>
              <w:t>22% Efficient, Display Case HCT.SC.I, &gt; 10 ft2</w:t>
            </w:r>
          </w:p>
        </w:tc>
      </w:tr>
      <w:tr w:rsidR="00C2049B" w14:paraId="1FE2A6C7" w14:textId="77777777" w:rsidTr="0017286B">
        <w:tc>
          <w:tcPr>
            <w:tcW w:w="1075" w:type="dxa"/>
          </w:tcPr>
          <w:p w14:paraId="3851B9EF" w14:textId="33C72AE5" w:rsidR="00C2049B" w:rsidRDefault="00C2049B" w:rsidP="00C2049B">
            <w:r>
              <w:t>S</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3256C763" w14:textId="44DBFE55" w:rsidR="00C2049B" w:rsidRDefault="00C2049B" w:rsidP="00C2049B">
            <w:r>
              <w:rPr>
                <w:rFonts w:cs="Calibri Light"/>
                <w:color w:val="0070C0"/>
                <w:szCs w:val="22"/>
              </w:rPr>
              <w:t>Standard Display Case, VCS.SC.M, &lt;= 30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62BF855" w14:textId="3468A74D" w:rsidR="00C2049B" w:rsidRDefault="00C2049B" w:rsidP="00C2049B">
            <w:r>
              <w:rPr>
                <w:rFonts w:cs="Calibri Light"/>
                <w:color w:val="0070C0"/>
                <w:szCs w:val="22"/>
              </w:rPr>
              <w:t>23% Efficient, Display Case VCS.SC.M, &lt;= 30 ft3</w:t>
            </w:r>
          </w:p>
        </w:tc>
      </w:tr>
      <w:tr w:rsidR="00C2049B" w14:paraId="1117CDCE" w14:textId="77777777" w:rsidTr="0017286B">
        <w:tc>
          <w:tcPr>
            <w:tcW w:w="1075" w:type="dxa"/>
          </w:tcPr>
          <w:p w14:paraId="5524E839" w14:textId="7AC5587F" w:rsidR="00C2049B" w:rsidRDefault="00C2049B" w:rsidP="00C2049B">
            <w:r>
              <w:t>T</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03EDBAF0" w14:textId="46B8E63C" w:rsidR="00C2049B" w:rsidRDefault="00C2049B" w:rsidP="00C2049B">
            <w:r>
              <w:rPr>
                <w:rFonts w:cs="Calibri Light"/>
                <w:color w:val="0070C0"/>
                <w:szCs w:val="22"/>
              </w:rPr>
              <w:t>Standard Display Case, VCS.SC.M, &gt; 30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52292FB3" w14:textId="2DE6FC3B" w:rsidR="00C2049B" w:rsidRDefault="00C2049B" w:rsidP="00C2049B">
            <w:r>
              <w:rPr>
                <w:rFonts w:cs="Calibri Light"/>
                <w:color w:val="0070C0"/>
                <w:szCs w:val="22"/>
              </w:rPr>
              <w:t>23% Efficient, Display Case VCS.SC.M, &gt; 30 ft3</w:t>
            </w:r>
          </w:p>
        </w:tc>
      </w:tr>
      <w:tr w:rsidR="00C2049B" w14:paraId="2E86BF93" w14:textId="77777777" w:rsidTr="0017286B">
        <w:tc>
          <w:tcPr>
            <w:tcW w:w="1075" w:type="dxa"/>
          </w:tcPr>
          <w:p w14:paraId="593F2144" w14:textId="7FE10103" w:rsidR="00C2049B" w:rsidRDefault="00C2049B" w:rsidP="00C2049B">
            <w:r>
              <w:t>U</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65EC07D7" w14:textId="3E656017" w:rsidR="00C2049B" w:rsidRDefault="00C2049B" w:rsidP="00C2049B">
            <w:r>
              <w:rPr>
                <w:rFonts w:cs="Calibri Light"/>
                <w:color w:val="0070C0"/>
                <w:szCs w:val="22"/>
              </w:rPr>
              <w:t>Standard Display Case, HCS.SC.L, &lt;= 50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AF5B0A7" w14:textId="1167334F" w:rsidR="00C2049B" w:rsidRDefault="00C2049B" w:rsidP="00C2049B">
            <w:r>
              <w:rPr>
                <w:rFonts w:cs="Calibri Light"/>
                <w:color w:val="0070C0"/>
                <w:szCs w:val="22"/>
              </w:rPr>
              <w:t>17% Efficient, Display Case HCS.SC.L, &lt;= 50 ft3</w:t>
            </w:r>
          </w:p>
        </w:tc>
      </w:tr>
      <w:tr w:rsidR="00C2049B" w14:paraId="018ACC72" w14:textId="77777777" w:rsidTr="0017286B">
        <w:tc>
          <w:tcPr>
            <w:tcW w:w="1075" w:type="dxa"/>
          </w:tcPr>
          <w:p w14:paraId="02703A21" w14:textId="75F0BA1C" w:rsidR="00C2049B" w:rsidRDefault="00C2049B" w:rsidP="00C2049B">
            <w:r>
              <w:t>V</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2672C1A8" w14:textId="52243975" w:rsidR="00C2049B" w:rsidRDefault="00C2049B" w:rsidP="00C2049B">
            <w:r>
              <w:rPr>
                <w:rFonts w:cs="Calibri Light"/>
                <w:color w:val="0070C0"/>
                <w:szCs w:val="22"/>
              </w:rPr>
              <w:t>Standard Display Case, VCS.SC.L, &lt;= 30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1B7C1052" w14:textId="3F28294D" w:rsidR="00C2049B" w:rsidRDefault="00C2049B" w:rsidP="00C2049B">
            <w:r>
              <w:rPr>
                <w:rFonts w:cs="Calibri Light"/>
                <w:color w:val="0070C0"/>
                <w:szCs w:val="22"/>
              </w:rPr>
              <w:t>15% Efficient, Display Case VCS.SC.L, &lt;= 30 ft3</w:t>
            </w:r>
          </w:p>
        </w:tc>
      </w:tr>
      <w:tr w:rsidR="00C2049B" w14:paraId="1E8ACA5F" w14:textId="77777777" w:rsidTr="0017286B">
        <w:tc>
          <w:tcPr>
            <w:tcW w:w="1075" w:type="dxa"/>
          </w:tcPr>
          <w:p w14:paraId="44D1DCCC" w14:textId="2F20C546" w:rsidR="00C2049B" w:rsidRDefault="00C2049B" w:rsidP="00C2049B">
            <w:r>
              <w:t>W</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42105E78" w14:textId="52BD14F2" w:rsidR="00C2049B" w:rsidRDefault="00C2049B" w:rsidP="00C2049B">
            <w:r>
              <w:rPr>
                <w:rFonts w:cs="Calibri Light"/>
                <w:color w:val="0070C0"/>
                <w:szCs w:val="22"/>
              </w:rPr>
              <w:t>Standard Display Case, VCS.SC.L, &gt; 30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0904F72A" w14:textId="02C55361" w:rsidR="00C2049B" w:rsidRDefault="00C2049B" w:rsidP="00C2049B">
            <w:r>
              <w:rPr>
                <w:rFonts w:cs="Calibri Light"/>
                <w:color w:val="0070C0"/>
                <w:szCs w:val="22"/>
              </w:rPr>
              <w:t>15% Efficient, Display Case VCS.SC.L, &gt; 30 ft3</w:t>
            </w:r>
          </w:p>
        </w:tc>
      </w:tr>
      <w:tr w:rsidR="00C2049B" w14:paraId="554B5919" w14:textId="77777777" w:rsidTr="0017286B">
        <w:tc>
          <w:tcPr>
            <w:tcW w:w="1075" w:type="dxa"/>
          </w:tcPr>
          <w:p w14:paraId="4D825642" w14:textId="173CE713" w:rsidR="00C2049B" w:rsidRDefault="00C2049B" w:rsidP="00C2049B">
            <w:r>
              <w:t>X</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1C340137" w14:textId="3AD960C8" w:rsidR="00C2049B" w:rsidRDefault="00C2049B" w:rsidP="00C2049B">
            <w:r>
              <w:rPr>
                <w:rFonts w:cs="Calibri Light"/>
                <w:color w:val="0070C0"/>
                <w:szCs w:val="22"/>
              </w:rPr>
              <w:t>Standard Display Case, HCT.SC.M, &lt;= 50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121F494A" w14:textId="671C72FF" w:rsidR="00C2049B" w:rsidRDefault="00C2049B" w:rsidP="00C2049B">
            <w:r>
              <w:rPr>
                <w:rFonts w:cs="Calibri Light"/>
                <w:color w:val="0070C0"/>
                <w:szCs w:val="22"/>
              </w:rPr>
              <w:t>25% Efficient, Display Case HCT.SC.M, &lt;= 50 ft3</w:t>
            </w:r>
          </w:p>
        </w:tc>
      </w:tr>
      <w:tr w:rsidR="00C2049B" w14:paraId="0C21B760" w14:textId="77777777" w:rsidTr="0017286B">
        <w:tc>
          <w:tcPr>
            <w:tcW w:w="1075" w:type="dxa"/>
          </w:tcPr>
          <w:p w14:paraId="53943C20" w14:textId="12866C9E" w:rsidR="00C2049B" w:rsidRDefault="00C2049B" w:rsidP="00C2049B">
            <w:r>
              <w:t>Y</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78D37A61" w14:textId="40629C77" w:rsidR="00C2049B" w:rsidRDefault="00C2049B" w:rsidP="00C2049B">
            <w:r>
              <w:rPr>
                <w:rFonts w:cs="Calibri Light"/>
                <w:color w:val="0070C0"/>
                <w:szCs w:val="22"/>
              </w:rPr>
              <w:t>Standard Display Case, VCT.SC.M, &lt;= 15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640AC483" w14:textId="49749AC6" w:rsidR="00C2049B" w:rsidRDefault="00C2049B" w:rsidP="00C2049B">
            <w:r>
              <w:rPr>
                <w:rFonts w:cs="Calibri Light"/>
                <w:color w:val="0070C0"/>
                <w:szCs w:val="22"/>
              </w:rPr>
              <w:t>14% Efficient, Display Case VCT.SC.M, &lt;= 15 ft3</w:t>
            </w:r>
          </w:p>
        </w:tc>
      </w:tr>
      <w:tr w:rsidR="00C2049B" w14:paraId="48C2F6C4" w14:textId="77777777" w:rsidTr="0017286B">
        <w:tc>
          <w:tcPr>
            <w:tcW w:w="1075" w:type="dxa"/>
          </w:tcPr>
          <w:p w14:paraId="048492EE" w14:textId="4A01A0FF" w:rsidR="00C2049B" w:rsidRDefault="00C2049B" w:rsidP="00C2049B">
            <w:r>
              <w:t>Z</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6D0558A6" w14:textId="221969D5" w:rsidR="00C2049B" w:rsidRDefault="00C2049B" w:rsidP="00C2049B">
            <w:r>
              <w:rPr>
                <w:rFonts w:cs="Calibri Light"/>
                <w:color w:val="0070C0"/>
                <w:szCs w:val="22"/>
              </w:rPr>
              <w:t>Standard Display Case, VCT.SC.M, &gt;15 ft3 and &lt;=50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0126CE3F" w14:textId="19626B42" w:rsidR="00C2049B" w:rsidRDefault="00C2049B" w:rsidP="00C2049B">
            <w:r>
              <w:rPr>
                <w:rFonts w:cs="Calibri Light"/>
                <w:color w:val="0070C0"/>
                <w:szCs w:val="22"/>
              </w:rPr>
              <w:t>14% Efficient, Display Case VCT.SC.M, &gt;15 ft3 and &lt;=50 ft3</w:t>
            </w:r>
          </w:p>
        </w:tc>
      </w:tr>
      <w:tr w:rsidR="00C2049B" w14:paraId="5650C6EC" w14:textId="77777777" w:rsidTr="0017286B">
        <w:tc>
          <w:tcPr>
            <w:tcW w:w="1075" w:type="dxa"/>
          </w:tcPr>
          <w:p w14:paraId="7A8199AA" w14:textId="3E2AD8BC" w:rsidR="00C2049B" w:rsidRDefault="00C2049B" w:rsidP="00C2049B">
            <w:r>
              <w:t>AA</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8F0F99B" w14:textId="43FDD9BC" w:rsidR="00C2049B" w:rsidRDefault="00C2049B" w:rsidP="00C2049B">
            <w:r>
              <w:rPr>
                <w:rFonts w:cs="Calibri Light"/>
                <w:color w:val="0070C0"/>
                <w:szCs w:val="22"/>
              </w:rPr>
              <w:t>Standard Display Case, VCT.SC.M, &gt;50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FA48A0C" w14:textId="6FB987D5" w:rsidR="00C2049B" w:rsidRDefault="00C2049B" w:rsidP="00C2049B">
            <w:r>
              <w:rPr>
                <w:rFonts w:cs="Calibri Light"/>
                <w:color w:val="0070C0"/>
                <w:szCs w:val="22"/>
              </w:rPr>
              <w:t>14% Efficient, Display Case VCT.SC.M, &gt;50 ft3</w:t>
            </w:r>
          </w:p>
        </w:tc>
      </w:tr>
      <w:tr w:rsidR="00C2049B" w14:paraId="1005F811" w14:textId="77777777" w:rsidTr="0017286B">
        <w:tc>
          <w:tcPr>
            <w:tcW w:w="1075" w:type="dxa"/>
          </w:tcPr>
          <w:p w14:paraId="73EC4065" w14:textId="2A51C6DF" w:rsidR="00C2049B" w:rsidRDefault="00C2049B" w:rsidP="00C2049B">
            <w:r>
              <w:t>AB</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496F5BC6" w14:textId="7C96D477" w:rsidR="00C2049B" w:rsidRDefault="00C2049B" w:rsidP="00C2049B">
            <w:r>
              <w:rPr>
                <w:rFonts w:cs="Calibri Light"/>
                <w:color w:val="0070C0"/>
                <w:szCs w:val="22"/>
              </w:rPr>
              <w:t>Standard Display Case, VCT.SC.L, &lt;= 15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5020A926" w14:textId="3B9CF3CF" w:rsidR="00C2049B" w:rsidRDefault="00C2049B" w:rsidP="00C2049B">
            <w:r>
              <w:rPr>
                <w:rFonts w:cs="Calibri Light"/>
                <w:color w:val="0070C0"/>
                <w:szCs w:val="22"/>
              </w:rPr>
              <w:t>14% Efficient, Display Case VCT.SC.L, &lt;= 15 ft3</w:t>
            </w:r>
          </w:p>
        </w:tc>
      </w:tr>
      <w:tr w:rsidR="00C2049B" w14:paraId="085371F0" w14:textId="77777777" w:rsidTr="0017286B">
        <w:tc>
          <w:tcPr>
            <w:tcW w:w="1075" w:type="dxa"/>
          </w:tcPr>
          <w:p w14:paraId="500A4ECF" w14:textId="2746A29E" w:rsidR="00C2049B" w:rsidRDefault="00C2049B" w:rsidP="00C2049B">
            <w:r>
              <w:lastRenderedPageBreak/>
              <w:t>AC</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367E429A" w14:textId="4161CAE6" w:rsidR="00C2049B" w:rsidRDefault="00C2049B" w:rsidP="00C2049B">
            <w:r>
              <w:rPr>
                <w:rFonts w:cs="Calibri Light"/>
                <w:color w:val="0070C0"/>
                <w:szCs w:val="22"/>
              </w:rPr>
              <w:t>Standard Display Case, VCT.SC.L, &gt;15 ft3 and &lt;=75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4CDDAE6" w14:textId="0F4228BD" w:rsidR="00C2049B" w:rsidRDefault="00C2049B" w:rsidP="00C2049B">
            <w:r>
              <w:rPr>
                <w:rFonts w:cs="Calibri Light"/>
                <w:color w:val="0070C0"/>
                <w:szCs w:val="22"/>
              </w:rPr>
              <w:t>14% Efficient, Display Case VCT.SC.L, &gt;15 ft3 and &lt;=75 ft3</w:t>
            </w:r>
          </w:p>
        </w:tc>
      </w:tr>
      <w:tr w:rsidR="00C2049B" w14:paraId="151C322F" w14:textId="77777777" w:rsidTr="0017286B">
        <w:tc>
          <w:tcPr>
            <w:tcW w:w="1075" w:type="dxa"/>
          </w:tcPr>
          <w:p w14:paraId="0446C980" w14:textId="3B40CC2E" w:rsidR="00C2049B" w:rsidRDefault="00C2049B" w:rsidP="00C2049B">
            <w:r>
              <w:t>AD</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2AACE7A7" w14:textId="5FB1A229" w:rsidR="00C2049B" w:rsidRDefault="00C2049B" w:rsidP="00C2049B">
            <w:r>
              <w:rPr>
                <w:rFonts w:cs="Calibri Light"/>
                <w:color w:val="0070C0"/>
                <w:szCs w:val="22"/>
              </w:rPr>
              <w:t>Standard Display Case, VCT.SC.L, &gt;75 ft3</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63FB554" w14:textId="78219AA5" w:rsidR="00C2049B" w:rsidRDefault="00C2049B" w:rsidP="00C2049B">
            <w:r>
              <w:rPr>
                <w:rFonts w:cs="Calibri Light"/>
                <w:color w:val="0070C0"/>
                <w:szCs w:val="22"/>
              </w:rPr>
              <w:t>14% Efficient, Display Case VCT.SC.L, &gt;75 ft3</w:t>
            </w:r>
          </w:p>
        </w:tc>
      </w:tr>
      <w:tr w:rsidR="00C2049B" w14:paraId="5DFD780C" w14:textId="77777777" w:rsidTr="0017286B">
        <w:tc>
          <w:tcPr>
            <w:tcW w:w="1075" w:type="dxa"/>
          </w:tcPr>
          <w:p w14:paraId="75BDE04E" w14:textId="703D620C" w:rsidR="00C2049B" w:rsidRDefault="00C2049B" w:rsidP="00C2049B">
            <w:r>
              <w:t>AE</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10530920" w14:textId="3CA6D91C" w:rsidR="00C2049B" w:rsidRDefault="00C2049B" w:rsidP="00C2049B">
            <w:r>
              <w:rPr>
                <w:rFonts w:cs="Calibri Light"/>
                <w:color w:val="0070C0"/>
                <w:szCs w:val="22"/>
              </w:rPr>
              <w:t>Standard Display Case, SOC.RC.M, &lt;=50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5C91BC9B" w14:textId="3C36B0CA" w:rsidR="00C2049B" w:rsidRDefault="00C2049B" w:rsidP="00C2049B">
            <w:r>
              <w:rPr>
                <w:rFonts w:cs="Calibri Light"/>
                <w:color w:val="0070C0"/>
                <w:szCs w:val="22"/>
              </w:rPr>
              <w:t>20% Efficient, Display Case SOC.RC.M, &lt;=50 ft2</w:t>
            </w:r>
          </w:p>
        </w:tc>
      </w:tr>
      <w:tr w:rsidR="00C2049B" w14:paraId="380B766F" w14:textId="77777777" w:rsidTr="0017286B">
        <w:tc>
          <w:tcPr>
            <w:tcW w:w="1075" w:type="dxa"/>
          </w:tcPr>
          <w:p w14:paraId="5FF35A38" w14:textId="2F2E8CE4" w:rsidR="00C2049B" w:rsidRDefault="00C2049B" w:rsidP="00C2049B">
            <w:r>
              <w:t>AF</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15D90BD6" w14:textId="67E3D552" w:rsidR="00C2049B" w:rsidRDefault="00C2049B" w:rsidP="00C2049B">
            <w:r>
              <w:rPr>
                <w:rFonts w:cs="Calibri Light"/>
                <w:color w:val="0070C0"/>
                <w:szCs w:val="22"/>
              </w:rPr>
              <w:t>Standard Display Case, SOC.RC.M, &gt;50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2A7BD06" w14:textId="1929112C" w:rsidR="00C2049B" w:rsidRDefault="00C2049B" w:rsidP="00C2049B">
            <w:r>
              <w:rPr>
                <w:rFonts w:cs="Calibri Light"/>
                <w:color w:val="0070C0"/>
                <w:szCs w:val="22"/>
              </w:rPr>
              <w:t>20% Efficient, Display Case SOC.RC.M, &gt;50 ft2</w:t>
            </w:r>
          </w:p>
        </w:tc>
      </w:tr>
      <w:tr w:rsidR="00C2049B" w14:paraId="367CA5D5" w14:textId="77777777" w:rsidTr="0017286B">
        <w:tc>
          <w:tcPr>
            <w:tcW w:w="1075" w:type="dxa"/>
          </w:tcPr>
          <w:p w14:paraId="2ACB3F57" w14:textId="518FDF3E" w:rsidR="00C2049B" w:rsidRDefault="00C2049B" w:rsidP="00C2049B">
            <w:r>
              <w:t>AG</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5249BD3A" w14:textId="2A7B95F0" w:rsidR="00C2049B" w:rsidRDefault="00C2049B" w:rsidP="00C2049B">
            <w:r>
              <w:rPr>
                <w:rFonts w:cs="Calibri Light"/>
                <w:color w:val="0070C0"/>
                <w:szCs w:val="22"/>
              </w:rPr>
              <w:t>Standard Display Case, SOC.SC.M, &lt;=75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71ED44FE" w14:textId="57848C04" w:rsidR="00C2049B" w:rsidRDefault="00C2049B" w:rsidP="00C2049B">
            <w:r>
              <w:rPr>
                <w:rFonts w:cs="Calibri Light"/>
                <w:color w:val="0070C0"/>
                <w:szCs w:val="22"/>
              </w:rPr>
              <w:t>22% Efficient, Display Case SOC.SC.M, &lt;=75 ft2</w:t>
            </w:r>
          </w:p>
        </w:tc>
      </w:tr>
      <w:tr w:rsidR="00C2049B" w14:paraId="7B1E56C8" w14:textId="77777777" w:rsidTr="0017286B">
        <w:tc>
          <w:tcPr>
            <w:tcW w:w="1075" w:type="dxa"/>
          </w:tcPr>
          <w:p w14:paraId="66F2A309" w14:textId="5F02A1DA" w:rsidR="00C2049B" w:rsidRDefault="00C2049B" w:rsidP="00C2049B">
            <w:r>
              <w:t>AH</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05657520" w14:textId="6233E849" w:rsidR="00C2049B" w:rsidRDefault="00C2049B" w:rsidP="00C2049B">
            <w:r>
              <w:rPr>
                <w:rFonts w:cs="Calibri Light"/>
                <w:color w:val="0070C0"/>
                <w:szCs w:val="22"/>
              </w:rPr>
              <w:t>Standard Display Case, SVO.SC.M, &lt;=75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04B12D6" w14:textId="12FC56CA" w:rsidR="00C2049B" w:rsidRDefault="00C2049B" w:rsidP="00C2049B">
            <w:r>
              <w:rPr>
                <w:rFonts w:cs="Calibri Light"/>
                <w:color w:val="0070C0"/>
                <w:szCs w:val="22"/>
              </w:rPr>
              <w:t>15% Efficient, Display Case SVO.SC.M, &lt;=75 ft2</w:t>
            </w:r>
          </w:p>
        </w:tc>
      </w:tr>
      <w:tr w:rsidR="00C2049B" w14:paraId="24ADE594" w14:textId="77777777" w:rsidTr="0017286B">
        <w:tc>
          <w:tcPr>
            <w:tcW w:w="1075" w:type="dxa"/>
          </w:tcPr>
          <w:p w14:paraId="55F43BF4" w14:textId="664B590B" w:rsidR="00C2049B" w:rsidRDefault="00C2049B" w:rsidP="00C2049B">
            <w:r>
              <w:t>AI</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15ACDEE1" w14:textId="7C631906" w:rsidR="00C2049B" w:rsidRDefault="00C2049B" w:rsidP="00C2049B">
            <w:r>
              <w:rPr>
                <w:rFonts w:cs="Calibri Light"/>
                <w:color w:val="0070C0"/>
                <w:szCs w:val="22"/>
              </w:rPr>
              <w:t>Standard Display Case, SVO.SC.M, &gt;75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23EF0C0C" w14:textId="759A34FB" w:rsidR="00C2049B" w:rsidRDefault="00C2049B" w:rsidP="00C2049B">
            <w:r>
              <w:rPr>
                <w:rFonts w:cs="Calibri Light"/>
                <w:color w:val="0070C0"/>
                <w:szCs w:val="22"/>
              </w:rPr>
              <w:t>15% Efficient, Display Case SVO.SC.M, &gt;75 ft2</w:t>
            </w:r>
          </w:p>
        </w:tc>
      </w:tr>
      <w:tr w:rsidR="00C2049B" w14:paraId="59254061" w14:textId="77777777" w:rsidTr="0017286B">
        <w:tc>
          <w:tcPr>
            <w:tcW w:w="1075" w:type="dxa"/>
          </w:tcPr>
          <w:p w14:paraId="3E4D219A" w14:textId="6FC4376E" w:rsidR="00C2049B" w:rsidRDefault="00C2049B" w:rsidP="00C2049B">
            <w:r>
              <w:t>AJ</w:t>
            </w:r>
          </w:p>
        </w:tc>
        <w:tc>
          <w:tcPr>
            <w:tcW w:w="3960" w:type="dxa"/>
            <w:tcBorders>
              <w:top w:val="nil"/>
              <w:left w:val="single" w:sz="4" w:space="0" w:color="auto"/>
              <w:bottom w:val="single" w:sz="4" w:space="0" w:color="auto"/>
              <w:right w:val="single" w:sz="4" w:space="0" w:color="auto"/>
            </w:tcBorders>
            <w:shd w:val="clear" w:color="000000" w:fill="FFF2CC"/>
            <w:vAlign w:val="bottom"/>
          </w:tcPr>
          <w:p w14:paraId="300EEBAF" w14:textId="00C3F997" w:rsidR="00C2049B" w:rsidRDefault="00C2049B" w:rsidP="00C2049B">
            <w:r>
              <w:rPr>
                <w:rFonts w:cs="Calibri Light"/>
                <w:color w:val="0070C0"/>
                <w:szCs w:val="22"/>
              </w:rPr>
              <w:t>Standard Display Case, VOP.SC.M, &lt;=75 ft2</w:t>
            </w:r>
          </w:p>
        </w:tc>
        <w:tc>
          <w:tcPr>
            <w:tcW w:w="4315" w:type="dxa"/>
            <w:tcBorders>
              <w:top w:val="nil"/>
              <w:left w:val="single" w:sz="4" w:space="0" w:color="auto"/>
              <w:bottom w:val="single" w:sz="4" w:space="0" w:color="auto"/>
              <w:right w:val="single" w:sz="4" w:space="0" w:color="auto"/>
            </w:tcBorders>
            <w:shd w:val="clear" w:color="000000" w:fill="FFF2CC"/>
            <w:vAlign w:val="bottom"/>
          </w:tcPr>
          <w:p w14:paraId="47747124" w14:textId="37EF8AD4" w:rsidR="00C2049B" w:rsidRDefault="00C2049B" w:rsidP="00C2049B">
            <w:r>
              <w:rPr>
                <w:rFonts w:cs="Calibri Light"/>
                <w:color w:val="0070C0"/>
                <w:szCs w:val="22"/>
              </w:rPr>
              <w:t>13% Efficient, Display Case VOP.SC.M, &lt;=75 ft2</w:t>
            </w:r>
          </w:p>
        </w:tc>
      </w:tr>
    </w:tbl>
    <w:p w14:paraId="2A64A1DA" w14:textId="77777777" w:rsidR="00C2049B" w:rsidRDefault="00C2049B" w:rsidP="00596FE1"/>
    <w:p w14:paraId="750FB309" w14:textId="77777777" w:rsidR="00E70CBD" w:rsidRDefault="00E70CBD" w:rsidP="00A01960">
      <w:pPr>
        <w:pStyle w:val="eTRMHeading3"/>
      </w:pPr>
      <w:bookmarkStart w:id="12" w:name="_Toc486490849"/>
      <w:bookmarkStart w:id="13" w:name="_Toc486580920"/>
      <w:bookmarkStart w:id="14" w:name="_Toc56591401"/>
      <w:r w:rsidRPr="004B06E3">
        <w:t>Base Case Description</w:t>
      </w:r>
      <w:bookmarkEnd w:id="12"/>
      <w:bookmarkEnd w:id="13"/>
      <w:bookmarkEnd w:id="14"/>
      <w:r w:rsidRPr="00171BB8">
        <w:t xml:space="preserve"> </w:t>
      </w:r>
    </w:p>
    <w:p w14:paraId="76544592" w14:textId="27AA251F" w:rsidR="002942B0" w:rsidRDefault="00E42F1A" w:rsidP="002942B0">
      <w:r>
        <w:t xml:space="preserve">The base case for </w:t>
      </w:r>
      <w:r w:rsidR="00C7741C">
        <w:t xml:space="preserve">a </w:t>
      </w:r>
      <w:r w:rsidR="00C7741C" w:rsidRPr="00C7741C">
        <w:rPr>
          <w:i/>
        </w:rPr>
        <w:t>normal replacement installation</w:t>
      </w:r>
      <w:r>
        <w:t xml:space="preserve"> </w:t>
      </w:r>
      <w:r w:rsidR="0059324B">
        <w:t xml:space="preserve">scenario </w:t>
      </w:r>
      <w:r>
        <w:t xml:space="preserve">is defined </w:t>
      </w:r>
      <w:r w:rsidR="00C7741C">
        <w:t>by the</w:t>
      </w:r>
      <w:r w:rsidR="005C1496">
        <w:t xml:space="preserve"> </w:t>
      </w:r>
      <w:r w:rsidR="00C7741C">
        <w:t>federal standard</w:t>
      </w:r>
      <w:r w:rsidR="00297342">
        <w:t xml:space="preserve"> set in Title 10, effective March 27, 2017.</w:t>
      </w:r>
      <w:r w:rsidR="005C1496">
        <w:t xml:space="preserve"> </w:t>
      </w:r>
      <w:r w:rsidR="00C7741C">
        <w:t>See Measure Case Description and Code Requirements</w:t>
      </w:r>
      <w:r>
        <w:t>.</w:t>
      </w:r>
      <w:r w:rsidR="004C2CAB">
        <w:t xml:space="preserve"> </w:t>
      </w:r>
    </w:p>
    <w:p w14:paraId="19FDE20F" w14:textId="77777777" w:rsidR="009369F9" w:rsidRDefault="009369F9" w:rsidP="002942B0"/>
    <w:p w14:paraId="3BD62235" w14:textId="77777777" w:rsidR="007D230B" w:rsidRDefault="007D230B" w:rsidP="00A01960">
      <w:pPr>
        <w:pStyle w:val="eTRMHeading3"/>
      </w:pPr>
      <w:bookmarkStart w:id="15" w:name="_Toc486490850"/>
      <w:bookmarkStart w:id="16" w:name="_Toc486580921"/>
      <w:bookmarkStart w:id="17" w:name="_Toc56591402"/>
      <w:r w:rsidRPr="004B06E3">
        <w:t>Code Requirements</w:t>
      </w:r>
      <w:bookmarkEnd w:id="15"/>
      <w:bookmarkEnd w:id="16"/>
      <w:bookmarkEnd w:id="17"/>
    </w:p>
    <w:p w14:paraId="20EB0D0B" w14:textId="77777777" w:rsidR="009369F9" w:rsidRDefault="009369F9" w:rsidP="009369F9">
      <w:r>
        <w:t>This high efficiency display cases are subject to the standards stipulated in the Code of Federal Regulations, as specified below. California state standards are not applicable.</w:t>
      </w:r>
    </w:p>
    <w:p w14:paraId="746024E7" w14:textId="77777777" w:rsidR="009369F9" w:rsidRPr="007C2528" w:rsidRDefault="009369F9" w:rsidP="009369F9">
      <w:pPr>
        <w:pStyle w:val="Caption"/>
      </w:pPr>
      <w:r w:rsidRPr="007C2528">
        <w:t>Code Summary</w:t>
      </w:r>
    </w:p>
    <w:tbl>
      <w:tblPr>
        <w:tblStyle w:val="TableGrid1"/>
        <w:tblW w:w="4136"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556"/>
        <w:gridCol w:w="3289"/>
        <w:gridCol w:w="1889"/>
      </w:tblGrid>
      <w:tr w:rsidR="00DF1D9B" w:rsidRPr="00500C4E" w14:paraId="01603603" w14:textId="77777777" w:rsidTr="00AC7885">
        <w:trPr>
          <w:jc w:val="center"/>
        </w:trPr>
        <w:tc>
          <w:tcPr>
            <w:tcW w:w="1652" w:type="pct"/>
            <w:shd w:val="clear" w:color="auto" w:fill="F2F2F2" w:themeFill="background1" w:themeFillShade="F2"/>
            <w:vAlign w:val="bottom"/>
          </w:tcPr>
          <w:p w14:paraId="27749DD1" w14:textId="77777777" w:rsidR="00DF1D9B" w:rsidRPr="00D06BD9" w:rsidRDefault="00DF1D9B" w:rsidP="00705CB3">
            <w:pPr>
              <w:spacing w:before="20" w:after="20"/>
              <w:jc w:val="center"/>
              <w:rPr>
                <w:rFonts w:cstheme="minorHAnsi"/>
                <w:b/>
                <w:sz w:val="20"/>
              </w:rPr>
            </w:pPr>
            <w:r w:rsidRPr="00D06BD9">
              <w:rPr>
                <w:rFonts w:cstheme="minorHAnsi"/>
                <w:b/>
                <w:sz w:val="20"/>
              </w:rPr>
              <w:t>Code</w:t>
            </w:r>
          </w:p>
        </w:tc>
        <w:tc>
          <w:tcPr>
            <w:tcW w:w="2126" w:type="pct"/>
            <w:shd w:val="clear" w:color="auto" w:fill="F2F2F2" w:themeFill="background1" w:themeFillShade="F2"/>
            <w:vAlign w:val="bottom"/>
          </w:tcPr>
          <w:p w14:paraId="3FD723FB" w14:textId="77777777" w:rsidR="00DF1D9B" w:rsidRPr="00D06BD9" w:rsidRDefault="00DF1D9B" w:rsidP="00705CB3">
            <w:pPr>
              <w:spacing w:before="20" w:after="20"/>
              <w:jc w:val="center"/>
              <w:rPr>
                <w:rFonts w:cstheme="minorHAnsi"/>
                <w:b/>
                <w:sz w:val="20"/>
              </w:rPr>
            </w:pPr>
            <w:r w:rsidRPr="00D06BD9">
              <w:rPr>
                <w:rFonts w:cstheme="minorHAnsi"/>
                <w:b/>
                <w:sz w:val="20"/>
              </w:rPr>
              <w:t>Reference</w:t>
            </w:r>
          </w:p>
        </w:tc>
        <w:tc>
          <w:tcPr>
            <w:tcW w:w="1221" w:type="pct"/>
            <w:shd w:val="clear" w:color="auto" w:fill="F2F2F2" w:themeFill="background1" w:themeFillShade="F2"/>
            <w:vAlign w:val="bottom"/>
          </w:tcPr>
          <w:p w14:paraId="3B8C31D8" w14:textId="77777777" w:rsidR="00DF1D9B" w:rsidRPr="00D06BD9" w:rsidRDefault="00DF1D9B" w:rsidP="00705CB3">
            <w:pPr>
              <w:spacing w:before="20" w:after="20"/>
              <w:jc w:val="center"/>
              <w:rPr>
                <w:rFonts w:cstheme="minorHAnsi"/>
                <w:b/>
                <w:sz w:val="20"/>
              </w:rPr>
            </w:pPr>
            <w:r w:rsidRPr="00D06BD9">
              <w:rPr>
                <w:rFonts w:cstheme="minorHAnsi"/>
                <w:b/>
                <w:sz w:val="20"/>
              </w:rPr>
              <w:t>Effective Dates</w:t>
            </w:r>
          </w:p>
        </w:tc>
      </w:tr>
      <w:tr w:rsidR="00DF1D9B" w:rsidRPr="00837033" w14:paraId="53D88A3F" w14:textId="77777777" w:rsidTr="00AC7885">
        <w:trPr>
          <w:trHeight w:val="792"/>
          <w:jc w:val="center"/>
        </w:trPr>
        <w:tc>
          <w:tcPr>
            <w:tcW w:w="1652" w:type="pct"/>
            <w:vAlign w:val="center"/>
          </w:tcPr>
          <w:p w14:paraId="6304CC0E" w14:textId="77777777" w:rsidR="00DF1D9B" w:rsidRPr="00D06BD9" w:rsidRDefault="00DF1D9B" w:rsidP="0092226B">
            <w:pPr>
              <w:spacing w:before="20" w:after="20"/>
              <w:rPr>
                <w:rFonts w:cstheme="minorHAnsi"/>
                <w:sz w:val="20"/>
              </w:rPr>
            </w:pPr>
            <w:r w:rsidRPr="00120EC2">
              <w:rPr>
                <w:rFonts w:cs="Calibri Light"/>
                <w:sz w:val="20"/>
              </w:rPr>
              <w:t>Federal Standards – Code of Federal Regulations</w:t>
            </w:r>
          </w:p>
        </w:tc>
        <w:tc>
          <w:tcPr>
            <w:tcW w:w="2126" w:type="pct"/>
          </w:tcPr>
          <w:p w14:paraId="2E9B7E4D" w14:textId="455EE516" w:rsidR="00DF1D9B" w:rsidRPr="00D06BD9" w:rsidRDefault="00DF1D9B" w:rsidP="0092226B">
            <w:pPr>
              <w:spacing w:before="20" w:after="20"/>
              <w:rPr>
                <w:rFonts w:cstheme="minorHAnsi"/>
                <w:sz w:val="20"/>
              </w:rPr>
            </w:pPr>
            <w:r w:rsidRPr="00D06BD9">
              <w:rPr>
                <w:rFonts w:cstheme="minorHAnsi"/>
                <w:sz w:val="20"/>
              </w:rPr>
              <w:t xml:space="preserve">Title 10, Chapter II, Subchapter D, Part 431, Subpart C, §431.66 </w:t>
            </w:r>
            <w:r w:rsidR="00372BAA">
              <w:rPr>
                <w:rFonts w:cstheme="minorHAnsi"/>
                <w:sz w:val="20"/>
              </w:rPr>
              <w:t>(e)</w:t>
            </w:r>
            <w:r w:rsidRPr="00D06BD9">
              <w:rPr>
                <w:rFonts w:cstheme="minorHAnsi"/>
                <w:sz w:val="20"/>
              </w:rPr>
              <w:t xml:space="preserve"> (1)</w:t>
            </w:r>
          </w:p>
          <w:p w14:paraId="4A15336A" w14:textId="73D0E0AA" w:rsidR="00DF1D9B" w:rsidRPr="00D06BD9" w:rsidRDefault="00DF1D9B" w:rsidP="00705CB3">
            <w:pPr>
              <w:spacing w:before="20" w:after="20"/>
              <w:rPr>
                <w:rFonts w:cstheme="minorHAnsi"/>
                <w:sz w:val="20"/>
              </w:rPr>
            </w:pPr>
          </w:p>
        </w:tc>
        <w:tc>
          <w:tcPr>
            <w:tcW w:w="1221" w:type="pct"/>
          </w:tcPr>
          <w:p w14:paraId="6C453AEB" w14:textId="77777777" w:rsidR="00DF1D9B" w:rsidRPr="00D06BD9" w:rsidRDefault="00DF1D9B" w:rsidP="0092226B">
            <w:pPr>
              <w:spacing w:before="20" w:after="20"/>
              <w:rPr>
                <w:rFonts w:cstheme="minorHAnsi"/>
                <w:sz w:val="20"/>
              </w:rPr>
            </w:pPr>
            <w:r w:rsidRPr="00D06BD9">
              <w:rPr>
                <w:rFonts w:cstheme="minorHAnsi"/>
                <w:sz w:val="20"/>
              </w:rPr>
              <w:t>March 27, 2017</w:t>
            </w:r>
          </w:p>
          <w:p w14:paraId="2A625841" w14:textId="2F47DE4F" w:rsidR="00DF1D9B" w:rsidRPr="00D06BD9" w:rsidRDefault="00DF1D9B" w:rsidP="00705CB3">
            <w:pPr>
              <w:spacing w:before="20" w:after="20"/>
              <w:rPr>
                <w:rFonts w:cstheme="minorHAnsi"/>
                <w:sz w:val="20"/>
              </w:rPr>
            </w:pPr>
          </w:p>
        </w:tc>
      </w:tr>
      <w:tr w:rsidR="00DF1D9B" w:rsidRPr="00837033" w14:paraId="6B352256" w14:textId="77777777" w:rsidTr="00AC7885">
        <w:trPr>
          <w:trHeight w:val="243"/>
          <w:jc w:val="center"/>
        </w:trPr>
        <w:tc>
          <w:tcPr>
            <w:tcW w:w="1652" w:type="pct"/>
            <w:vAlign w:val="center"/>
          </w:tcPr>
          <w:p w14:paraId="2B2012E2" w14:textId="77777777" w:rsidR="00DF1D9B" w:rsidRPr="00D06BD9" w:rsidRDefault="00DF1D9B" w:rsidP="00785B4B">
            <w:pPr>
              <w:spacing w:before="20" w:after="20"/>
              <w:rPr>
                <w:rFonts w:cstheme="minorHAnsi"/>
                <w:sz w:val="20"/>
              </w:rPr>
            </w:pPr>
            <w:r w:rsidRPr="00120EC2">
              <w:rPr>
                <w:rFonts w:cs="Calibri Light"/>
                <w:sz w:val="20"/>
              </w:rPr>
              <w:t>CA Appliance Efficiency Regulations – Title 20</w:t>
            </w:r>
          </w:p>
        </w:tc>
        <w:tc>
          <w:tcPr>
            <w:tcW w:w="2126" w:type="pct"/>
          </w:tcPr>
          <w:p w14:paraId="088137FB" w14:textId="77777777" w:rsidR="00DF1D9B" w:rsidRPr="00D06BD9" w:rsidRDefault="00DF1D9B" w:rsidP="00785B4B">
            <w:pPr>
              <w:spacing w:before="20" w:after="20"/>
              <w:rPr>
                <w:rFonts w:cstheme="minorHAnsi"/>
                <w:sz w:val="20"/>
              </w:rPr>
            </w:pPr>
            <w:r>
              <w:rPr>
                <w:rFonts w:cstheme="minorHAnsi"/>
                <w:sz w:val="20"/>
              </w:rPr>
              <w:t>n/a</w:t>
            </w:r>
          </w:p>
        </w:tc>
        <w:tc>
          <w:tcPr>
            <w:tcW w:w="1221" w:type="pct"/>
          </w:tcPr>
          <w:p w14:paraId="604D3D6C" w14:textId="77777777" w:rsidR="00DF1D9B" w:rsidRPr="00D06BD9" w:rsidRDefault="00DF1D9B" w:rsidP="00785B4B">
            <w:pPr>
              <w:spacing w:before="20" w:after="20"/>
              <w:rPr>
                <w:rFonts w:cstheme="minorHAnsi"/>
                <w:sz w:val="20"/>
              </w:rPr>
            </w:pPr>
            <w:r>
              <w:rPr>
                <w:rFonts w:cstheme="minorHAnsi"/>
                <w:sz w:val="20"/>
              </w:rPr>
              <w:t>n/a</w:t>
            </w:r>
          </w:p>
        </w:tc>
      </w:tr>
      <w:tr w:rsidR="00DF1D9B" w:rsidRPr="00837033" w14:paraId="3F5D3C2D" w14:textId="77777777" w:rsidTr="00AC7885">
        <w:trPr>
          <w:trHeight w:val="243"/>
          <w:jc w:val="center"/>
        </w:trPr>
        <w:tc>
          <w:tcPr>
            <w:tcW w:w="1652" w:type="pct"/>
            <w:vAlign w:val="center"/>
          </w:tcPr>
          <w:p w14:paraId="7073375F" w14:textId="77777777" w:rsidR="00DF1D9B" w:rsidRPr="00D06BD9" w:rsidRDefault="00DF1D9B" w:rsidP="00785B4B">
            <w:pPr>
              <w:spacing w:before="20" w:after="20"/>
              <w:rPr>
                <w:rFonts w:cstheme="minorHAnsi"/>
                <w:sz w:val="20"/>
              </w:rPr>
            </w:pPr>
            <w:r w:rsidRPr="00120EC2">
              <w:rPr>
                <w:rFonts w:cs="Calibri Light"/>
                <w:sz w:val="20"/>
              </w:rPr>
              <w:t xml:space="preserve">CA Building Energy Efficiency Standards – Title 24 </w:t>
            </w:r>
          </w:p>
        </w:tc>
        <w:tc>
          <w:tcPr>
            <w:tcW w:w="2126" w:type="pct"/>
          </w:tcPr>
          <w:p w14:paraId="0F203AB7" w14:textId="77777777" w:rsidR="00DF1D9B" w:rsidRPr="00D06BD9" w:rsidRDefault="00DF1D9B" w:rsidP="00785B4B">
            <w:pPr>
              <w:spacing w:before="20" w:after="20"/>
              <w:rPr>
                <w:rFonts w:cstheme="minorHAnsi"/>
                <w:sz w:val="20"/>
              </w:rPr>
            </w:pPr>
            <w:r>
              <w:rPr>
                <w:rFonts w:cstheme="minorHAnsi"/>
                <w:sz w:val="20"/>
              </w:rPr>
              <w:t>n/a</w:t>
            </w:r>
          </w:p>
        </w:tc>
        <w:tc>
          <w:tcPr>
            <w:tcW w:w="1221" w:type="pct"/>
          </w:tcPr>
          <w:p w14:paraId="6279340D" w14:textId="77777777" w:rsidR="00DF1D9B" w:rsidRPr="00D06BD9" w:rsidRDefault="00DF1D9B" w:rsidP="00785B4B">
            <w:pPr>
              <w:spacing w:before="20" w:after="20"/>
              <w:rPr>
                <w:rFonts w:cstheme="minorHAnsi"/>
                <w:sz w:val="20"/>
              </w:rPr>
            </w:pPr>
            <w:r>
              <w:rPr>
                <w:rFonts w:cstheme="minorHAnsi"/>
                <w:sz w:val="20"/>
              </w:rPr>
              <w:t>n/a</w:t>
            </w:r>
          </w:p>
        </w:tc>
      </w:tr>
    </w:tbl>
    <w:p w14:paraId="76DA630F" w14:textId="77777777" w:rsidR="009369F9" w:rsidRDefault="009369F9" w:rsidP="0092226B"/>
    <w:p w14:paraId="3317390D" w14:textId="77777777" w:rsidR="0059324B" w:rsidRPr="004C2CAB" w:rsidRDefault="00E54543" w:rsidP="0059324B">
      <w:pPr>
        <w:rPr>
          <w:rFonts w:cstheme="minorHAnsi"/>
          <w:szCs w:val="22"/>
        </w:rPr>
      </w:pPr>
      <w:r w:rsidRPr="00E54543">
        <w:rPr>
          <w:rFonts w:cstheme="minorHAnsi"/>
          <w:b/>
          <w:szCs w:val="22"/>
        </w:rPr>
        <w:lastRenderedPageBreak/>
        <w:t>Code of Federal Regulations</w:t>
      </w:r>
      <w:r w:rsidRPr="00E54543">
        <w:rPr>
          <w:b/>
        </w:rPr>
        <w:t xml:space="preserve"> </w:t>
      </w:r>
      <w:r w:rsidR="00AE055C" w:rsidRPr="00E54543">
        <w:rPr>
          <w:b/>
        </w:rPr>
        <w:t>Title 10, Chapter II, Subc</w:t>
      </w:r>
      <w:r w:rsidR="004C2CAB" w:rsidRPr="00E54543">
        <w:rPr>
          <w:b/>
        </w:rPr>
        <w:t xml:space="preserve">hapter D, Part 431, Subpart C, </w:t>
      </w:r>
      <w:r w:rsidR="00AE055C" w:rsidRPr="00E54543">
        <w:rPr>
          <w:b/>
        </w:rPr>
        <w:t>§431.66 (e)(1)</w:t>
      </w:r>
      <w:r w:rsidR="008B0508">
        <w:rPr>
          <w:rStyle w:val="FootnoteReference"/>
          <w:b/>
        </w:rPr>
        <w:footnoteReference w:id="5"/>
      </w:r>
      <w:r w:rsidR="00785B4B">
        <w:rPr>
          <w:b/>
        </w:rPr>
        <w:t xml:space="preserve"> </w:t>
      </w:r>
      <w:r w:rsidR="0059324B" w:rsidRPr="004C2CAB">
        <w:rPr>
          <w:rFonts w:cstheme="minorHAnsi"/>
          <w:szCs w:val="22"/>
        </w:rPr>
        <w:t>require</w:t>
      </w:r>
      <w:r w:rsidR="004C2CAB">
        <w:rPr>
          <w:rFonts w:cstheme="minorHAnsi"/>
          <w:szCs w:val="22"/>
        </w:rPr>
        <w:t>s</w:t>
      </w:r>
      <w:r w:rsidR="0059324B" w:rsidRPr="004C2CAB">
        <w:rPr>
          <w:rFonts w:cstheme="minorHAnsi"/>
          <w:szCs w:val="22"/>
        </w:rPr>
        <w:t xml:space="preserve"> </w:t>
      </w:r>
      <w:r w:rsidR="004C2CAB">
        <w:rPr>
          <w:rFonts w:cstheme="minorHAnsi"/>
          <w:szCs w:val="22"/>
        </w:rPr>
        <w:t>the following</w:t>
      </w:r>
      <w:r w:rsidR="0059324B" w:rsidRPr="004C2CAB">
        <w:rPr>
          <w:rFonts w:cstheme="minorHAnsi"/>
          <w:szCs w:val="22"/>
        </w:rPr>
        <w:t xml:space="preserve">: </w:t>
      </w:r>
    </w:p>
    <w:p w14:paraId="68D0DD5D" w14:textId="77777777" w:rsidR="0059324B" w:rsidRPr="004C2CAB" w:rsidRDefault="00047F4F" w:rsidP="0059324B">
      <w:pPr>
        <w:spacing w:before="0" w:after="0"/>
        <w:ind w:left="720"/>
        <w:rPr>
          <w:rFonts w:cstheme="minorHAnsi"/>
          <w:i/>
          <w:sz w:val="20"/>
          <w:szCs w:val="22"/>
        </w:rPr>
      </w:pPr>
      <w:r w:rsidRPr="004C2CAB">
        <w:rPr>
          <w:rFonts w:cstheme="minorHAnsi"/>
          <w:i/>
          <w:sz w:val="20"/>
          <w:szCs w:val="22"/>
        </w:rPr>
        <w:t xml:space="preserve"> </w:t>
      </w:r>
      <w:r w:rsidR="0059324B" w:rsidRPr="004C2CAB">
        <w:rPr>
          <w:rFonts w:cstheme="minorHAnsi"/>
          <w:i/>
          <w:sz w:val="20"/>
          <w:szCs w:val="22"/>
        </w:rPr>
        <w:t>(e) Each commercial refrigerator, freezer, and refrigerator-freezer with a self-contained condensing unit designed for holding temperature applications and with solid or transparent doors; commercial refrigerator with a self-contained condensing unit designed for pull-down temperature applications and with transparent doors; commercial refrigerator, freezer, and refrigerator-freezer with a self-contained condensing unit and without doors; commercial refrigerator, freezer, and refrigerator-freezer with a remote condensing unit; and commercial ice-cream freezer manufactured on or after March 27, 2017, shall have a daily energy consumption (in kilowatt-hours per day) that does not exceed the levels specified:</w:t>
      </w:r>
    </w:p>
    <w:p w14:paraId="2FC9353E" w14:textId="77777777" w:rsidR="007C2528" w:rsidRPr="00407B6B" w:rsidRDefault="006A3778" w:rsidP="00407B6B">
      <w:pPr>
        <w:pStyle w:val="Caption"/>
        <w:rPr>
          <w:i/>
        </w:rPr>
      </w:pPr>
      <w:r w:rsidRPr="00407B6B">
        <w:t xml:space="preserve">For </w:t>
      </w:r>
      <w:r w:rsidR="00407B6B" w:rsidRPr="00407B6B">
        <w:t>Equipment O</w:t>
      </w:r>
      <w:r w:rsidRPr="00407B6B">
        <w:t xml:space="preserve">ther than </w:t>
      </w:r>
      <w:r w:rsidR="00407B6B" w:rsidRPr="00407B6B">
        <w:t>H</w:t>
      </w:r>
      <w:r w:rsidRPr="00407B6B">
        <w:t xml:space="preserve">ybrid </w:t>
      </w:r>
      <w:r w:rsidR="00407B6B" w:rsidRPr="00407B6B">
        <w:t>Eq</w:t>
      </w:r>
      <w:r w:rsidRPr="00407B6B">
        <w:t xml:space="preserve">uipment, </w:t>
      </w:r>
      <w:r w:rsidR="00407B6B" w:rsidRPr="00407B6B">
        <w:t>R</w:t>
      </w:r>
      <w:r w:rsidRPr="00407B6B">
        <w:t>efrigerator/</w:t>
      </w:r>
      <w:r w:rsidR="00407B6B" w:rsidRPr="00407B6B">
        <w:t>F</w:t>
      </w:r>
      <w:r w:rsidRPr="00407B6B">
        <w:t xml:space="preserve">reezers, or </w:t>
      </w:r>
      <w:r w:rsidR="00407B6B" w:rsidRPr="00407B6B">
        <w:t>W</w:t>
      </w:r>
      <w:r w:rsidRPr="00407B6B">
        <w:t xml:space="preserve">edge </w:t>
      </w:r>
      <w:r w:rsidR="00407B6B" w:rsidRPr="00407B6B">
        <w:t>C</w:t>
      </w:r>
      <w:r w:rsidRPr="00407B6B">
        <w:t>ases</w:t>
      </w:r>
    </w:p>
    <w:tbl>
      <w:tblPr>
        <w:tblStyle w:val="TableGrid1"/>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260"/>
        <w:gridCol w:w="1801"/>
        <w:gridCol w:w="1621"/>
        <w:gridCol w:w="1170"/>
        <w:gridCol w:w="1080"/>
        <w:gridCol w:w="1258"/>
        <w:gridCol w:w="1170"/>
      </w:tblGrid>
      <w:tr w:rsidR="00E54543" w:rsidRPr="009843D5" w14:paraId="747D31A5" w14:textId="77777777" w:rsidTr="00E54543">
        <w:trPr>
          <w:cantSplit/>
          <w:trHeight w:val="20"/>
          <w:tblHeader/>
        </w:trPr>
        <w:tc>
          <w:tcPr>
            <w:tcW w:w="673" w:type="pct"/>
            <w:shd w:val="clear" w:color="auto" w:fill="F2F2F2" w:themeFill="background1" w:themeFillShade="F2"/>
            <w:vAlign w:val="bottom"/>
          </w:tcPr>
          <w:p w14:paraId="550C5A0C" w14:textId="77777777" w:rsidR="00EB5C64" w:rsidRPr="00E54543" w:rsidRDefault="00EB5C64" w:rsidP="00EB5C64">
            <w:pPr>
              <w:widowControl w:val="0"/>
              <w:spacing w:before="20" w:after="20" w:line="240" w:lineRule="auto"/>
              <w:jc w:val="center"/>
              <w:rPr>
                <w:b/>
                <w:sz w:val="18"/>
                <w:szCs w:val="18"/>
              </w:rPr>
            </w:pPr>
            <w:r w:rsidRPr="00E54543">
              <w:rPr>
                <w:b/>
                <w:sz w:val="18"/>
                <w:szCs w:val="18"/>
              </w:rPr>
              <w:t>Condensing Unit Configuration</w:t>
            </w:r>
          </w:p>
        </w:tc>
        <w:tc>
          <w:tcPr>
            <w:tcW w:w="962" w:type="pct"/>
            <w:shd w:val="clear" w:color="auto" w:fill="F2F2F2" w:themeFill="background1" w:themeFillShade="F2"/>
            <w:vAlign w:val="bottom"/>
          </w:tcPr>
          <w:p w14:paraId="55E765FC" w14:textId="77777777" w:rsidR="00EB5C64" w:rsidRPr="00E54543" w:rsidRDefault="00EB5C64" w:rsidP="00EB5C64">
            <w:pPr>
              <w:widowControl w:val="0"/>
              <w:spacing w:before="20" w:after="20" w:line="240" w:lineRule="auto"/>
              <w:jc w:val="center"/>
              <w:rPr>
                <w:rFonts w:cstheme="minorHAnsi"/>
                <w:b/>
                <w:sz w:val="18"/>
                <w:szCs w:val="18"/>
              </w:rPr>
            </w:pPr>
            <w:r w:rsidRPr="00E54543">
              <w:rPr>
                <w:b/>
                <w:sz w:val="18"/>
                <w:szCs w:val="18"/>
              </w:rPr>
              <w:t xml:space="preserve">Equipment </w:t>
            </w:r>
            <w:r w:rsidR="003D2DD8" w:rsidRPr="00E54543">
              <w:rPr>
                <w:b/>
                <w:sz w:val="18"/>
                <w:szCs w:val="18"/>
              </w:rPr>
              <w:br/>
            </w:r>
            <w:r w:rsidRPr="00E54543">
              <w:rPr>
                <w:b/>
                <w:sz w:val="18"/>
                <w:szCs w:val="18"/>
              </w:rPr>
              <w:t>Category</w:t>
            </w:r>
          </w:p>
        </w:tc>
        <w:tc>
          <w:tcPr>
            <w:tcW w:w="866" w:type="pct"/>
            <w:shd w:val="clear" w:color="auto" w:fill="F2F2F2" w:themeFill="background1" w:themeFillShade="F2"/>
            <w:vAlign w:val="bottom"/>
          </w:tcPr>
          <w:p w14:paraId="29405668" w14:textId="77777777" w:rsidR="00EB5C64" w:rsidRPr="00E54543" w:rsidRDefault="00EB5C64" w:rsidP="00EB5C64">
            <w:pPr>
              <w:widowControl w:val="0"/>
              <w:spacing w:before="20" w:after="20" w:line="240" w:lineRule="auto"/>
              <w:jc w:val="center"/>
              <w:rPr>
                <w:rFonts w:cstheme="minorHAnsi"/>
                <w:b/>
                <w:sz w:val="18"/>
                <w:szCs w:val="18"/>
              </w:rPr>
            </w:pPr>
            <w:r w:rsidRPr="00E54543">
              <w:rPr>
                <w:b/>
                <w:sz w:val="18"/>
                <w:szCs w:val="18"/>
              </w:rPr>
              <w:t>Equipment Family</w:t>
            </w:r>
          </w:p>
        </w:tc>
        <w:tc>
          <w:tcPr>
            <w:tcW w:w="625" w:type="pct"/>
            <w:shd w:val="clear" w:color="auto" w:fill="F2F2F2" w:themeFill="background1" w:themeFillShade="F2"/>
            <w:vAlign w:val="bottom"/>
          </w:tcPr>
          <w:p w14:paraId="243F8FCD" w14:textId="77777777" w:rsidR="00EB5C64" w:rsidRPr="00E54543" w:rsidRDefault="00EB5C64" w:rsidP="00B10CF0">
            <w:pPr>
              <w:widowControl w:val="0"/>
              <w:spacing w:before="20" w:after="20" w:line="240" w:lineRule="auto"/>
              <w:jc w:val="center"/>
              <w:rPr>
                <w:rFonts w:cstheme="minorHAnsi"/>
                <w:b/>
                <w:sz w:val="18"/>
                <w:szCs w:val="18"/>
              </w:rPr>
            </w:pPr>
            <w:r w:rsidRPr="00E54543">
              <w:rPr>
                <w:b/>
                <w:sz w:val="18"/>
                <w:szCs w:val="18"/>
              </w:rPr>
              <w:t>Rating Temp. (°F)</w:t>
            </w:r>
          </w:p>
        </w:tc>
        <w:tc>
          <w:tcPr>
            <w:tcW w:w="577" w:type="pct"/>
            <w:shd w:val="clear" w:color="auto" w:fill="F2F2F2" w:themeFill="background1" w:themeFillShade="F2"/>
            <w:vAlign w:val="bottom"/>
          </w:tcPr>
          <w:p w14:paraId="357C71E8" w14:textId="77777777" w:rsidR="00EB5C64" w:rsidRPr="00E54543" w:rsidRDefault="00EB5C64" w:rsidP="00B10CF0">
            <w:pPr>
              <w:widowControl w:val="0"/>
              <w:spacing w:before="20" w:after="20" w:line="240" w:lineRule="auto"/>
              <w:jc w:val="center"/>
              <w:rPr>
                <w:rFonts w:cstheme="minorHAnsi"/>
                <w:b/>
                <w:sz w:val="18"/>
                <w:szCs w:val="18"/>
              </w:rPr>
            </w:pPr>
            <w:r w:rsidRPr="00E54543">
              <w:rPr>
                <w:b/>
                <w:sz w:val="18"/>
                <w:szCs w:val="18"/>
              </w:rPr>
              <w:t>Operating Temp. (°F)</w:t>
            </w:r>
          </w:p>
        </w:tc>
        <w:tc>
          <w:tcPr>
            <w:tcW w:w="672" w:type="pct"/>
            <w:shd w:val="clear" w:color="auto" w:fill="F2F2F2" w:themeFill="background1" w:themeFillShade="F2"/>
            <w:vAlign w:val="bottom"/>
          </w:tcPr>
          <w:p w14:paraId="022AA13C" w14:textId="77777777" w:rsidR="00EB5C64" w:rsidRPr="00E54543" w:rsidRDefault="00EB5C64" w:rsidP="003D2DD8">
            <w:pPr>
              <w:widowControl w:val="0"/>
              <w:spacing w:before="20" w:after="20" w:line="240" w:lineRule="auto"/>
              <w:jc w:val="center"/>
              <w:rPr>
                <w:rFonts w:cstheme="minorHAnsi"/>
                <w:b/>
                <w:sz w:val="18"/>
                <w:szCs w:val="18"/>
              </w:rPr>
            </w:pPr>
            <w:r w:rsidRPr="00E54543">
              <w:rPr>
                <w:b/>
                <w:sz w:val="18"/>
                <w:szCs w:val="18"/>
              </w:rPr>
              <w:t>Equip</w:t>
            </w:r>
            <w:r w:rsidR="003D2DD8" w:rsidRPr="00E54543">
              <w:rPr>
                <w:b/>
                <w:sz w:val="18"/>
                <w:szCs w:val="18"/>
              </w:rPr>
              <w:t>.</w:t>
            </w:r>
            <w:r w:rsidRPr="00E54543">
              <w:rPr>
                <w:b/>
                <w:sz w:val="18"/>
                <w:szCs w:val="18"/>
              </w:rPr>
              <w:br/>
              <w:t>Class</w:t>
            </w:r>
            <w:r w:rsidRPr="00E54543">
              <w:rPr>
                <w:b/>
                <w:sz w:val="18"/>
                <w:szCs w:val="18"/>
              </w:rPr>
              <w:br/>
              <w:t>Designation</w:t>
            </w:r>
          </w:p>
        </w:tc>
        <w:tc>
          <w:tcPr>
            <w:tcW w:w="625" w:type="pct"/>
            <w:shd w:val="clear" w:color="auto" w:fill="F2F2F2" w:themeFill="background1" w:themeFillShade="F2"/>
            <w:vAlign w:val="bottom"/>
          </w:tcPr>
          <w:p w14:paraId="38782701" w14:textId="77777777" w:rsidR="00EB5C64" w:rsidRPr="00E54543" w:rsidRDefault="00B10CF0" w:rsidP="00581FB1">
            <w:pPr>
              <w:widowControl w:val="0"/>
              <w:spacing w:before="20" w:after="20" w:line="240" w:lineRule="auto"/>
              <w:jc w:val="center"/>
              <w:rPr>
                <w:rFonts w:cstheme="minorHAnsi"/>
                <w:b/>
                <w:sz w:val="18"/>
                <w:szCs w:val="18"/>
              </w:rPr>
            </w:pPr>
            <w:r w:rsidRPr="00E54543">
              <w:rPr>
                <w:b/>
                <w:sz w:val="18"/>
                <w:szCs w:val="18"/>
              </w:rPr>
              <w:t>Max.</w:t>
            </w:r>
            <w:r w:rsidRPr="00E54543">
              <w:rPr>
                <w:b/>
                <w:sz w:val="18"/>
                <w:szCs w:val="18"/>
              </w:rPr>
              <w:br/>
              <w:t>D</w:t>
            </w:r>
            <w:r w:rsidR="00EB5C64" w:rsidRPr="00E54543">
              <w:rPr>
                <w:b/>
                <w:sz w:val="18"/>
                <w:szCs w:val="18"/>
              </w:rPr>
              <w:t xml:space="preserve">aily </w:t>
            </w:r>
            <w:r w:rsidRPr="00E54543">
              <w:rPr>
                <w:b/>
                <w:sz w:val="18"/>
                <w:szCs w:val="18"/>
              </w:rPr>
              <w:t>Energy</w:t>
            </w:r>
            <w:r w:rsidRPr="00E54543">
              <w:rPr>
                <w:b/>
                <w:sz w:val="18"/>
                <w:szCs w:val="18"/>
              </w:rPr>
              <w:br/>
            </w:r>
            <w:r w:rsidR="00581FB1" w:rsidRPr="00E54543">
              <w:rPr>
                <w:b/>
                <w:sz w:val="18"/>
                <w:szCs w:val="18"/>
              </w:rPr>
              <w:t>Use</w:t>
            </w:r>
            <w:r w:rsidR="00EB5C64" w:rsidRPr="00E54543">
              <w:rPr>
                <w:b/>
                <w:sz w:val="18"/>
                <w:szCs w:val="18"/>
              </w:rPr>
              <w:br/>
              <w:t>(kWh/day)</w:t>
            </w:r>
          </w:p>
        </w:tc>
      </w:tr>
      <w:tr w:rsidR="009B6E38" w:rsidRPr="00986B41" w14:paraId="6D386F50" w14:textId="77777777" w:rsidTr="00E54543">
        <w:trPr>
          <w:trHeight w:val="20"/>
        </w:trPr>
        <w:tc>
          <w:tcPr>
            <w:tcW w:w="673" w:type="pct"/>
            <w:vMerge w:val="restart"/>
          </w:tcPr>
          <w:p w14:paraId="01E68773" w14:textId="77777777" w:rsidR="009B6E38" w:rsidRPr="00E54543" w:rsidRDefault="009B6E38" w:rsidP="00EB5C64">
            <w:pPr>
              <w:widowControl w:val="0"/>
              <w:spacing w:before="20" w:after="20" w:line="240" w:lineRule="auto"/>
              <w:rPr>
                <w:sz w:val="18"/>
                <w:szCs w:val="18"/>
              </w:rPr>
            </w:pPr>
            <w:r w:rsidRPr="00E54543">
              <w:rPr>
                <w:sz w:val="18"/>
                <w:szCs w:val="18"/>
              </w:rPr>
              <w:t xml:space="preserve">Remote (RC) </w:t>
            </w:r>
          </w:p>
        </w:tc>
        <w:tc>
          <w:tcPr>
            <w:tcW w:w="962" w:type="pct"/>
            <w:vMerge w:val="restart"/>
          </w:tcPr>
          <w:p w14:paraId="03E6E7AD" w14:textId="77777777" w:rsidR="009B6E38" w:rsidRPr="00E54543" w:rsidRDefault="009B6E38" w:rsidP="00EB5C64">
            <w:pPr>
              <w:widowControl w:val="0"/>
              <w:spacing w:before="20" w:after="20" w:line="240" w:lineRule="auto"/>
              <w:rPr>
                <w:sz w:val="18"/>
                <w:szCs w:val="18"/>
              </w:rPr>
            </w:pPr>
            <w:r w:rsidRPr="00E54543">
              <w:rPr>
                <w:sz w:val="18"/>
                <w:szCs w:val="18"/>
              </w:rPr>
              <w:t xml:space="preserve">Remote Condensing Commercial Refrigerators and Commercial Freezers </w:t>
            </w:r>
          </w:p>
        </w:tc>
        <w:tc>
          <w:tcPr>
            <w:tcW w:w="866" w:type="pct"/>
          </w:tcPr>
          <w:p w14:paraId="4C52815C" w14:textId="77777777" w:rsidR="009B6E38" w:rsidRPr="00E54543" w:rsidRDefault="009B6E38" w:rsidP="00EB5C64">
            <w:pPr>
              <w:widowControl w:val="0"/>
              <w:spacing w:before="20" w:after="20" w:line="240" w:lineRule="auto"/>
              <w:rPr>
                <w:sz w:val="18"/>
                <w:szCs w:val="18"/>
              </w:rPr>
            </w:pPr>
            <w:r w:rsidRPr="00E54543">
              <w:rPr>
                <w:sz w:val="18"/>
                <w:szCs w:val="18"/>
              </w:rPr>
              <w:t>Vertical Open (VOP)</w:t>
            </w:r>
          </w:p>
        </w:tc>
        <w:tc>
          <w:tcPr>
            <w:tcW w:w="625" w:type="pct"/>
          </w:tcPr>
          <w:p w14:paraId="14398905" w14:textId="77777777" w:rsidR="009B6E38" w:rsidRPr="00E54543" w:rsidRDefault="009B6E38" w:rsidP="00B10CF0">
            <w:pPr>
              <w:widowControl w:val="0"/>
              <w:spacing w:before="20" w:after="20" w:line="240" w:lineRule="auto"/>
              <w:jc w:val="center"/>
              <w:rPr>
                <w:sz w:val="18"/>
                <w:szCs w:val="18"/>
              </w:rPr>
            </w:pPr>
            <w:r w:rsidRPr="00E54543">
              <w:rPr>
                <w:sz w:val="18"/>
                <w:szCs w:val="18"/>
              </w:rPr>
              <w:t>38 (M)</w:t>
            </w:r>
          </w:p>
        </w:tc>
        <w:tc>
          <w:tcPr>
            <w:tcW w:w="577" w:type="pct"/>
          </w:tcPr>
          <w:p w14:paraId="7E4A50DD" w14:textId="77777777" w:rsidR="009B6E38" w:rsidRPr="00E54543" w:rsidRDefault="009B6E38" w:rsidP="00B10CF0">
            <w:pPr>
              <w:widowControl w:val="0"/>
              <w:spacing w:before="20" w:after="20" w:line="240" w:lineRule="auto"/>
              <w:jc w:val="center"/>
              <w:rPr>
                <w:sz w:val="18"/>
                <w:szCs w:val="18"/>
              </w:rPr>
            </w:pPr>
            <w:r w:rsidRPr="00E54543">
              <w:rPr>
                <w:sz w:val="18"/>
                <w:szCs w:val="18"/>
              </w:rPr>
              <w:t>≥32</w:t>
            </w:r>
          </w:p>
        </w:tc>
        <w:tc>
          <w:tcPr>
            <w:tcW w:w="672" w:type="pct"/>
          </w:tcPr>
          <w:p w14:paraId="040D3C81" w14:textId="77777777" w:rsidR="009B6E38" w:rsidRPr="00E54543" w:rsidRDefault="009B6E38" w:rsidP="00EB5C64">
            <w:pPr>
              <w:widowControl w:val="0"/>
              <w:spacing w:before="20" w:after="20" w:line="240" w:lineRule="auto"/>
              <w:rPr>
                <w:sz w:val="18"/>
                <w:szCs w:val="18"/>
              </w:rPr>
            </w:pPr>
            <w:r w:rsidRPr="00E54543">
              <w:rPr>
                <w:sz w:val="18"/>
                <w:szCs w:val="18"/>
              </w:rPr>
              <w:t>VOP.RC.M</w:t>
            </w:r>
          </w:p>
        </w:tc>
        <w:tc>
          <w:tcPr>
            <w:tcW w:w="625" w:type="pct"/>
          </w:tcPr>
          <w:p w14:paraId="0AD6CB0D" w14:textId="4C495EE6" w:rsidR="009B6E38" w:rsidRPr="00E54543" w:rsidRDefault="009B6E38" w:rsidP="00EB5C64">
            <w:pPr>
              <w:widowControl w:val="0"/>
              <w:spacing w:before="20" w:after="20" w:line="240" w:lineRule="auto"/>
              <w:rPr>
                <w:sz w:val="18"/>
                <w:szCs w:val="18"/>
              </w:rPr>
            </w:pPr>
            <w:r w:rsidRPr="00E54543">
              <w:rPr>
                <w:sz w:val="18"/>
                <w:szCs w:val="18"/>
              </w:rPr>
              <w:t>0.64 × TDA</w:t>
            </w:r>
            <w:r w:rsidR="00297342">
              <w:rPr>
                <w:rStyle w:val="FootnoteReference"/>
                <w:sz w:val="18"/>
                <w:szCs w:val="18"/>
              </w:rPr>
              <w:footnoteReference w:id="6"/>
            </w:r>
            <w:r w:rsidRPr="00E54543">
              <w:rPr>
                <w:sz w:val="18"/>
                <w:szCs w:val="18"/>
              </w:rPr>
              <w:t xml:space="preserve"> + 4.07.</w:t>
            </w:r>
          </w:p>
        </w:tc>
      </w:tr>
      <w:tr w:rsidR="009B6E38" w:rsidRPr="00986B41" w14:paraId="403F3424" w14:textId="77777777" w:rsidTr="00E54543">
        <w:trPr>
          <w:trHeight w:val="539"/>
        </w:trPr>
        <w:tc>
          <w:tcPr>
            <w:tcW w:w="673" w:type="pct"/>
            <w:vMerge/>
          </w:tcPr>
          <w:p w14:paraId="291335BE" w14:textId="77777777" w:rsidR="009B6E38" w:rsidRPr="00E54543" w:rsidRDefault="009B6E38" w:rsidP="00EB5C64">
            <w:pPr>
              <w:widowControl w:val="0"/>
              <w:spacing w:before="20" w:after="20" w:line="240" w:lineRule="auto"/>
              <w:rPr>
                <w:sz w:val="18"/>
                <w:szCs w:val="18"/>
              </w:rPr>
            </w:pPr>
          </w:p>
        </w:tc>
        <w:tc>
          <w:tcPr>
            <w:tcW w:w="962" w:type="pct"/>
            <w:vMerge/>
          </w:tcPr>
          <w:p w14:paraId="6101803B" w14:textId="77777777" w:rsidR="009B6E38" w:rsidRPr="00E54543" w:rsidRDefault="009B6E38" w:rsidP="00EB5C64">
            <w:pPr>
              <w:widowControl w:val="0"/>
              <w:spacing w:before="20" w:after="20" w:line="240" w:lineRule="auto"/>
              <w:rPr>
                <w:sz w:val="18"/>
                <w:szCs w:val="18"/>
              </w:rPr>
            </w:pPr>
          </w:p>
        </w:tc>
        <w:tc>
          <w:tcPr>
            <w:tcW w:w="866" w:type="pct"/>
          </w:tcPr>
          <w:p w14:paraId="11A138D8" w14:textId="77777777" w:rsidR="009B6E38" w:rsidRPr="00E54543" w:rsidRDefault="009B6E38" w:rsidP="00EB5C64">
            <w:pPr>
              <w:widowControl w:val="0"/>
              <w:spacing w:before="20" w:after="20" w:line="240" w:lineRule="auto"/>
              <w:rPr>
                <w:sz w:val="18"/>
                <w:szCs w:val="18"/>
              </w:rPr>
            </w:pPr>
            <w:r w:rsidRPr="00E54543">
              <w:rPr>
                <w:sz w:val="18"/>
                <w:szCs w:val="18"/>
              </w:rPr>
              <w:t>Semi vertical Open (SVO)</w:t>
            </w:r>
          </w:p>
        </w:tc>
        <w:tc>
          <w:tcPr>
            <w:tcW w:w="625" w:type="pct"/>
          </w:tcPr>
          <w:p w14:paraId="710E6F09" w14:textId="77777777" w:rsidR="009B6E38" w:rsidRPr="00E54543" w:rsidRDefault="009B6E38" w:rsidP="00B10CF0">
            <w:pPr>
              <w:widowControl w:val="0"/>
              <w:spacing w:before="20" w:after="20" w:line="240" w:lineRule="auto"/>
              <w:jc w:val="center"/>
              <w:rPr>
                <w:sz w:val="18"/>
                <w:szCs w:val="18"/>
              </w:rPr>
            </w:pPr>
            <w:r w:rsidRPr="00E54543">
              <w:rPr>
                <w:sz w:val="18"/>
                <w:szCs w:val="18"/>
              </w:rPr>
              <w:t>38 (M)</w:t>
            </w:r>
          </w:p>
        </w:tc>
        <w:tc>
          <w:tcPr>
            <w:tcW w:w="577" w:type="pct"/>
          </w:tcPr>
          <w:p w14:paraId="51C6B1CA" w14:textId="77777777" w:rsidR="009B6E38" w:rsidRPr="00E54543" w:rsidRDefault="009B6E38" w:rsidP="00B10CF0">
            <w:pPr>
              <w:widowControl w:val="0"/>
              <w:spacing w:before="20" w:after="20" w:line="240" w:lineRule="auto"/>
              <w:jc w:val="center"/>
              <w:rPr>
                <w:sz w:val="18"/>
                <w:szCs w:val="18"/>
              </w:rPr>
            </w:pPr>
            <w:r w:rsidRPr="00E54543">
              <w:rPr>
                <w:sz w:val="18"/>
                <w:szCs w:val="18"/>
              </w:rPr>
              <w:t>≥32</w:t>
            </w:r>
          </w:p>
        </w:tc>
        <w:tc>
          <w:tcPr>
            <w:tcW w:w="672" w:type="pct"/>
          </w:tcPr>
          <w:p w14:paraId="4E9F8699" w14:textId="77777777" w:rsidR="009B6E38" w:rsidRPr="00E54543" w:rsidRDefault="009B6E38" w:rsidP="00EB5C64">
            <w:pPr>
              <w:widowControl w:val="0"/>
              <w:spacing w:before="20" w:after="20" w:line="240" w:lineRule="auto"/>
              <w:rPr>
                <w:sz w:val="18"/>
                <w:szCs w:val="18"/>
              </w:rPr>
            </w:pPr>
            <w:r w:rsidRPr="00E54543">
              <w:rPr>
                <w:sz w:val="18"/>
                <w:szCs w:val="18"/>
              </w:rPr>
              <w:t>SVO.RC.M</w:t>
            </w:r>
          </w:p>
        </w:tc>
        <w:tc>
          <w:tcPr>
            <w:tcW w:w="625" w:type="pct"/>
          </w:tcPr>
          <w:p w14:paraId="58FB6ADB" w14:textId="77777777" w:rsidR="009B6E38" w:rsidRPr="00E54543" w:rsidRDefault="009B6E38" w:rsidP="00EB5C64">
            <w:pPr>
              <w:widowControl w:val="0"/>
              <w:spacing w:before="20" w:after="20" w:line="240" w:lineRule="auto"/>
              <w:rPr>
                <w:sz w:val="18"/>
                <w:szCs w:val="18"/>
              </w:rPr>
            </w:pPr>
            <w:r w:rsidRPr="00E54543">
              <w:rPr>
                <w:sz w:val="18"/>
                <w:szCs w:val="18"/>
              </w:rPr>
              <w:t>0.66 × TDA + 3.18.</w:t>
            </w:r>
          </w:p>
        </w:tc>
      </w:tr>
      <w:tr w:rsidR="009B6E38" w:rsidRPr="00986B41" w14:paraId="57360B3F" w14:textId="77777777" w:rsidTr="00E54543">
        <w:trPr>
          <w:trHeight w:val="20"/>
        </w:trPr>
        <w:tc>
          <w:tcPr>
            <w:tcW w:w="673" w:type="pct"/>
            <w:vMerge/>
          </w:tcPr>
          <w:p w14:paraId="53C02816" w14:textId="77777777" w:rsidR="009B6E38" w:rsidRPr="00E54543" w:rsidRDefault="009B6E38" w:rsidP="00EB5C64">
            <w:pPr>
              <w:widowControl w:val="0"/>
              <w:spacing w:before="20" w:after="20" w:line="240" w:lineRule="auto"/>
              <w:rPr>
                <w:sz w:val="18"/>
                <w:szCs w:val="18"/>
              </w:rPr>
            </w:pPr>
          </w:p>
        </w:tc>
        <w:tc>
          <w:tcPr>
            <w:tcW w:w="962" w:type="pct"/>
            <w:vMerge/>
          </w:tcPr>
          <w:p w14:paraId="0DCEBA1F" w14:textId="77777777" w:rsidR="009B6E38" w:rsidRPr="00E54543" w:rsidRDefault="009B6E38" w:rsidP="00EB5C64">
            <w:pPr>
              <w:widowControl w:val="0"/>
              <w:spacing w:before="20" w:after="20" w:line="240" w:lineRule="auto"/>
              <w:rPr>
                <w:sz w:val="18"/>
                <w:szCs w:val="18"/>
              </w:rPr>
            </w:pPr>
          </w:p>
        </w:tc>
        <w:tc>
          <w:tcPr>
            <w:tcW w:w="866" w:type="pct"/>
          </w:tcPr>
          <w:p w14:paraId="4EC700D7" w14:textId="77777777" w:rsidR="009B6E38" w:rsidRPr="00E54543" w:rsidRDefault="009B6E38" w:rsidP="00EB5C64">
            <w:pPr>
              <w:widowControl w:val="0"/>
              <w:spacing w:before="20" w:after="20" w:line="240" w:lineRule="auto"/>
              <w:rPr>
                <w:sz w:val="18"/>
                <w:szCs w:val="18"/>
              </w:rPr>
            </w:pPr>
            <w:r w:rsidRPr="00E54543">
              <w:rPr>
                <w:sz w:val="18"/>
                <w:szCs w:val="18"/>
              </w:rPr>
              <w:t>Horizontal Open (HZO)</w:t>
            </w:r>
          </w:p>
        </w:tc>
        <w:tc>
          <w:tcPr>
            <w:tcW w:w="625" w:type="pct"/>
          </w:tcPr>
          <w:p w14:paraId="4378202E" w14:textId="77777777" w:rsidR="009B6E38" w:rsidRPr="00E54543" w:rsidRDefault="009B6E38" w:rsidP="00B10CF0">
            <w:pPr>
              <w:widowControl w:val="0"/>
              <w:spacing w:before="20" w:after="20" w:line="240" w:lineRule="auto"/>
              <w:jc w:val="center"/>
              <w:rPr>
                <w:sz w:val="18"/>
                <w:szCs w:val="18"/>
              </w:rPr>
            </w:pPr>
            <w:r w:rsidRPr="00E54543">
              <w:rPr>
                <w:sz w:val="18"/>
                <w:szCs w:val="18"/>
              </w:rPr>
              <w:t>0 (L)</w:t>
            </w:r>
          </w:p>
        </w:tc>
        <w:tc>
          <w:tcPr>
            <w:tcW w:w="577" w:type="pct"/>
          </w:tcPr>
          <w:p w14:paraId="72776A03" w14:textId="77777777" w:rsidR="009B6E38" w:rsidRPr="00E54543" w:rsidRDefault="009B6E38" w:rsidP="00B10CF0">
            <w:pPr>
              <w:widowControl w:val="0"/>
              <w:spacing w:before="20" w:after="20" w:line="240" w:lineRule="auto"/>
              <w:jc w:val="center"/>
              <w:rPr>
                <w:sz w:val="18"/>
                <w:szCs w:val="18"/>
              </w:rPr>
            </w:pPr>
            <w:r w:rsidRPr="00E54543">
              <w:rPr>
                <w:sz w:val="18"/>
                <w:szCs w:val="18"/>
              </w:rPr>
              <w:t>&lt;32</w:t>
            </w:r>
          </w:p>
        </w:tc>
        <w:tc>
          <w:tcPr>
            <w:tcW w:w="672" w:type="pct"/>
          </w:tcPr>
          <w:p w14:paraId="6A2AE51B" w14:textId="77777777" w:rsidR="009B6E38" w:rsidRPr="00E54543" w:rsidRDefault="009B6E38" w:rsidP="00EB5C64">
            <w:pPr>
              <w:widowControl w:val="0"/>
              <w:spacing w:before="20" w:after="20" w:line="240" w:lineRule="auto"/>
              <w:rPr>
                <w:sz w:val="18"/>
                <w:szCs w:val="18"/>
              </w:rPr>
            </w:pPr>
            <w:r w:rsidRPr="00E54543">
              <w:rPr>
                <w:sz w:val="18"/>
                <w:szCs w:val="18"/>
              </w:rPr>
              <w:t>HZO.RC.L</w:t>
            </w:r>
          </w:p>
        </w:tc>
        <w:tc>
          <w:tcPr>
            <w:tcW w:w="625" w:type="pct"/>
          </w:tcPr>
          <w:p w14:paraId="0AA42BEE" w14:textId="77777777" w:rsidR="009B6E38" w:rsidRPr="00E54543" w:rsidRDefault="009B6E38" w:rsidP="00EB5C64">
            <w:pPr>
              <w:widowControl w:val="0"/>
              <w:spacing w:before="20" w:after="20" w:line="240" w:lineRule="auto"/>
              <w:rPr>
                <w:sz w:val="18"/>
                <w:szCs w:val="18"/>
              </w:rPr>
            </w:pPr>
            <w:r w:rsidRPr="00E54543">
              <w:rPr>
                <w:sz w:val="18"/>
                <w:szCs w:val="18"/>
              </w:rPr>
              <w:t>0.55 × TDA + 6.88.</w:t>
            </w:r>
          </w:p>
        </w:tc>
      </w:tr>
      <w:tr w:rsidR="009B6E38" w:rsidRPr="00986B41" w14:paraId="0128CAC0" w14:textId="77777777" w:rsidTr="00E54543">
        <w:trPr>
          <w:trHeight w:val="20"/>
        </w:trPr>
        <w:tc>
          <w:tcPr>
            <w:tcW w:w="673" w:type="pct"/>
            <w:vMerge/>
          </w:tcPr>
          <w:p w14:paraId="4F5A5C28" w14:textId="77777777" w:rsidR="009B6E38" w:rsidRPr="00E54543" w:rsidRDefault="009B6E38" w:rsidP="00EB5C64">
            <w:pPr>
              <w:widowControl w:val="0"/>
              <w:spacing w:before="20" w:after="20" w:line="240" w:lineRule="auto"/>
              <w:rPr>
                <w:sz w:val="18"/>
                <w:szCs w:val="18"/>
              </w:rPr>
            </w:pPr>
          </w:p>
        </w:tc>
        <w:tc>
          <w:tcPr>
            <w:tcW w:w="962" w:type="pct"/>
            <w:vMerge/>
          </w:tcPr>
          <w:p w14:paraId="588E566D" w14:textId="77777777" w:rsidR="009B6E38" w:rsidRPr="00E54543" w:rsidRDefault="009B6E38" w:rsidP="00EB5C64">
            <w:pPr>
              <w:widowControl w:val="0"/>
              <w:spacing w:before="20" w:after="20" w:line="240" w:lineRule="auto"/>
              <w:rPr>
                <w:sz w:val="18"/>
                <w:szCs w:val="18"/>
              </w:rPr>
            </w:pPr>
          </w:p>
        </w:tc>
        <w:tc>
          <w:tcPr>
            <w:tcW w:w="866" w:type="pct"/>
            <w:vMerge w:val="restart"/>
          </w:tcPr>
          <w:p w14:paraId="67968304" w14:textId="77777777" w:rsidR="009B6E38" w:rsidRPr="00E54543" w:rsidRDefault="009B6E38" w:rsidP="00EB5C64">
            <w:pPr>
              <w:widowControl w:val="0"/>
              <w:spacing w:before="20" w:after="20" w:line="240" w:lineRule="auto"/>
              <w:rPr>
                <w:sz w:val="18"/>
                <w:szCs w:val="18"/>
              </w:rPr>
            </w:pPr>
            <w:r w:rsidRPr="00E54543">
              <w:rPr>
                <w:sz w:val="18"/>
                <w:szCs w:val="18"/>
              </w:rPr>
              <w:t>Vertical Closed Transparent (VCT)</w:t>
            </w:r>
          </w:p>
        </w:tc>
        <w:tc>
          <w:tcPr>
            <w:tcW w:w="625" w:type="pct"/>
          </w:tcPr>
          <w:p w14:paraId="142D0E1E" w14:textId="77777777" w:rsidR="009B6E38" w:rsidRPr="00E54543" w:rsidRDefault="009B6E38" w:rsidP="00B10CF0">
            <w:pPr>
              <w:widowControl w:val="0"/>
              <w:spacing w:before="20" w:after="20" w:line="240" w:lineRule="auto"/>
              <w:jc w:val="center"/>
              <w:rPr>
                <w:sz w:val="18"/>
                <w:szCs w:val="18"/>
              </w:rPr>
            </w:pPr>
            <w:r w:rsidRPr="00E54543">
              <w:rPr>
                <w:sz w:val="18"/>
                <w:szCs w:val="18"/>
              </w:rPr>
              <w:t>38 (M)</w:t>
            </w:r>
          </w:p>
        </w:tc>
        <w:tc>
          <w:tcPr>
            <w:tcW w:w="577" w:type="pct"/>
          </w:tcPr>
          <w:p w14:paraId="1F834A53" w14:textId="77777777" w:rsidR="009B6E38" w:rsidRPr="00E54543" w:rsidRDefault="009B6E38" w:rsidP="00B10CF0">
            <w:pPr>
              <w:widowControl w:val="0"/>
              <w:spacing w:before="20" w:after="20" w:line="240" w:lineRule="auto"/>
              <w:jc w:val="center"/>
              <w:rPr>
                <w:sz w:val="18"/>
                <w:szCs w:val="18"/>
              </w:rPr>
            </w:pPr>
            <w:r w:rsidRPr="00E54543">
              <w:rPr>
                <w:sz w:val="18"/>
                <w:szCs w:val="18"/>
              </w:rPr>
              <w:t>≥32</w:t>
            </w:r>
          </w:p>
        </w:tc>
        <w:tc>
          <w:tcPr>
            <w:tcW w:w="672" w:type="pct"/>
          </w:tcPr>
          <w:p w14:paraId="0AC71930" w14:textId="77777777" w:rsidR="009B6E38" w:rsidRPr="00E54543" w:rsidRDefault="009B6E38" w:rsidP="00EB5C64">
            <w:pPr>
              <w:widowControl w:val="0"/>
              <w:spacing w:before="20" w:after="20" w:line="240" w:lineRule="auto"/>
              <w:rPr>
                <w:sz w:val="18"/>
                <w:szCs w:val="18"/>
              </w:rPr>
            </w:pPr>
            <w:r w:rsidRPr="00E54543">
              <w:rPr>
                <w:sz w:val="18"/>
                <w:szCs w:val="18"/>
              </w:rPr>
              <w:t>VCT.RC.M</w:t>
            </w:r>
          </w:p>
        </w:tc>
        <w:tc>
          <w:tcPr>
            <w:tcW w:w="625" w:type="pct"/>
          </w:tcPr>
          <w:p w14:paraId="131E0169" w14:textId="77777777" w:rsidR="009B6E38" w:rsidRPr="00E54543" w:rsidRDefault="009B6E38" w:rsidP="00EB5C64">
            <w:pPr>
              <w:widowControl w:val="0"/>
              <w:spacing w:before="20" w:after="20" w:line="240" w:lineRule="auto"/>
              <w:rPr>
                <w:sz w:val="18"/>
                <w:szCs w:val="18"/>
              </w:rPr>
            </w:pPr>
            <w:r w:rsidRPr="00E54543">
              <w:rPr>
                <w:sz w:val="18"/>
                <w:szCs w:val="18"/>
              </w:rPr>
              <w:t>0.15 × TDA + 1.95.</w:t>
            </w:r>
          </w:p>
        </w:tc>
      </w:tr>
      <w:tr w:rsidR="009B6E38" w:rsidRPr="00986B41" w14:paraId="052FB54D" w14:textId="77777777" w:rsidTr="00E54543">
        <w:trPr>
          <w:trHeight w:val="20"/>
        </w:trPr>
        <w:tc>
          <w:tcPr>
            <w:tcW w:w="673" w:type="pct"/>
            <w:vMerge/>
          </w:tcPr>
          <w:p w14:paraId="14F6E4AB" w14:textId="77777777" w:rsidR="009B6E38" w:rsidRPr="00E54543" w:rsidRDefault="009B6E38" w:rsidP="00EB5C64">
            <w:pPr>
              <w:widowControl w:val="0"/>
              <w:spacing w:before="20" w:after="20" w:line="240" w:lineRule="auto"/>
              <w:rPr>
                <w:sz w:val="18"/>
                <w:szCs w:val="18"/>
              </w:rPr>
            </w:pPr>
          </w:p>
        </w:tc>
        <w:tc>
          <w:tcPr>
            <w:tcW w:w="962" w:type="pct"/>
            <w:vMerge/>
          </w:tcPr>
          <w:p w14:paraId="5EAF4172" w14:textId="77777777" w:rsidR="009B6E38" w:rsidRPr="00E54543" w:rsidRDefault="009B6E38" w:rsidP="00EB5C64">
            <w:pPr>
              <w:widowControl w:val="0"/>
              <w:spacing w:before="20" w:after="20" w:line="240" w:lineRule="auto"/>
              <w:rPr>
                <w:sz w:val="18"/>
                <w:szCs w:val="18"/>
              </w:rPr>
            </w:pPr>
          </w:p>
        </w:tc>
        <w:tc>
          <w:tcPr>
            <w:tcW w:w="866" w:type="pct"/>
            <w:vMerge/>
          </w:tcPr>
          <w:p w14:paraId="046EA924" w14:textId="77777777" w:rsidR="009B6E38" w:rsidRPr="00E54543" w:rsidRDefault="009B6E38" w:rsidP="00EB5C64">
            <w:pPr>
              <w:widowControl w:val="0"/>
              <w:spacing w:before="20" w:after="20" w:line="240" w:lineRule="auto"/>
              <w:rPr>
                <w:sz w:val="18"/>
                <w:szCs w:val="18"/>
              </w:rPr>
            </w:pPr>
          </w:p>
        </w:tc>
        <w:tc>
          <w:tcPr>
            <w:tcW w:w="625" w:type="pct"/>
          </w:tcPr>
          <w:p w14:paraId="245B8978" w14:textId="77777777" w:rsidR="009B6E38" w:rsidRPr="00E54543" w:rsidRDefault="009B6E38" w:rsidP="00B10CF0">
            <w:pPr>
              <w:widowControl w:val="0"/>
              <w:spacing w:before="20" w:after="20" w:line="240" w:lineRule="auto"/>
              <w:jc w:val="center"/>
              <w:rPr>
                <w:sz w:val="18"/>
                <w:szCs w:val="18"/>
              </w:rPr>
            </w:pPr>
            <w:r w:rsidRPr="00E54543">
              <w:rPr>
                <w:sz w:val="18"/>
                <w:szCs w:val="18"/>
              </w:rPr>
              <w:t>0 (L)</w:t>
            </w:r>
          </w:p>
        </w:tc>
        <w:tc>
          <w:tcPr>
            <w:tcW w:w="577" w:type="pct"/>
          </w:tcPr>
          <w:p w14:paraId="66B58DB1" w14:textId="77777777" w:rsidR="009B6E38" w:rsidRPr="00E54543" w:rsidRDefault="009B6E38" w:rsidP="00B10CF0">
            <w:pPr>
              <w:widowControl w:val="0"/>
              <w:spacing w:before="20" w:after="20" w:line="240" w:lineRule="auto"/>
              <w:jc w:val="center"/>
              <w:rPr>
                <w:sz w:val="18"/>
                <w:szCs w:val="18"/>
              </w:rPr>
            </w:pPr>
            <w:r w:rsidRPr="00E54543">
              <w:rPr>
                <w:sz w:val="18"/>
                <w:szCs w:val="18"/>
              </w:rPr>
              <w:t>&lt;32</w:t>
            </w:r>
          </w:p>
        </w:tc>
        <w:tc>
          <w:tcPr>
            <w:tcW w:w="672" w:type="pct"/>
          </w:tcPr>
          <w:p w14:paraId="5E09BBFB" w14:textId="77777777" w:rsidR="009B6E38" w:rsidRPr="00E54543" w:rsidRDefault="009B6E38" w:rsidP="00EB5C64">
            <w:pPr>
              <w:widowControl w:val="0"/>
              <w:spacing w:before="20" w:after="20" w:line="240" w:lineRule="auto"/>
              <w:rPr>
                <w:sz w:val="18"/>
                <w:szCs w:val="18"/>
              </w:rPr>
            </w:pPr>
            <w:r w:rsidRPr="00E54543">
              <w:rPr>
                <w:sz w:val="18"/>
                <w:szCs w:val="18"/>
              </w:rPr>
              <w:t>VCT.RC.L</w:t>
            </w:r>
          </w:p>
        </w:tc>
        <w:tc>
          <w:tcPr>
            <w:tcW w:w="625" w:type="pct"/>
          </w:tcPr>
          <w:p w14:paraId="367D6F9D" w14:textId="77777777" w:rsidR="009B6E38" w:rsidRPr="00E54543" w:rsidRDefault="009B6E38" w:rsidP="00EB5C64">
            <w:pPr>
              <w:widowControl w:val="0"/>
              <w:spacing w:before="20" w:after="20" w:line="240" w:lineRule="auto"/>
              <w:rPr>
                <w:sz w:val="18"/>
                <w:szCs w:val="18"/>
              </w:rPr>
            </w:pPr>
            <w:r w:rsidRPr="00E54543">
              <w:rPr>
                <w:sz w:val="18"/>
                <w:szCs w:val="18"/>
              </w:rPr>
              <w:t>0.49 × TDA + 2.61.</w:t>
            </w:r>
          </w:p>
        </w:tc>
      </w:tr>
      <w:tr w:rsidR="00207FAE" w:rsidRPr="00986B41" w14:paraId="61C0A42B" w14:textId="77777777" w:rsidTr="00E54543">
        <w:trPr>
          <w:trHeight w:val="20"/>
        </w:trPr>
        <w:tc>
          <w:tcPr>
            <w:tcW w:w="673" w:type="pct"/>
            <w:vMerge/>
          </w:tcPr>
          <w:p w14:paraId="58CC0E91" w14:textId="77777777" w:rsidR="00207FAE" w:rsidRPr="00E54543" w:rsidRDefault="00207FAE" w:rsidP="00207FAE">
            <w:pPr>
              <w:widowControl w:val="0"/>
              <w:spacing w:before="20" w:after="20" w:line="240" w:lineRule="auto"/>
              <w:rPr>
                <w:sz w:val="18"/>
                <w:szCs w:val="18"/>
              </w:rPr>
            </w:pPr>
          </w:p>
        </w:tc>
        <w:tc>
          <w:tcPr>
            <w:tcW w:w="962" w:type="pct"/>
            <w:vMerge/>
          </w:tcPr>
          <w:p w14:paraId="2757A532" w14:textId="77777777" w:rsidR="00207FAE" w:rsidRPr="00E54543" w:rsidRDefault="00207FAE" w:rsidP="00207FAE">
            <w:pPr>
              <w:widowControl w:val="0"/>
              <w:spacing w:before="20" w:after="20" w:line="240" w:lineRule="auto"/>
              <w:rPr>
                <w:sz w:val="18"/>
                <w:szCs w:val="18"/>
              </w:rPr>
            </w:pPr>
          </w:p>
        </w:tc>
        <w:tc>
          <w:tcPr>
            <w:tcW w:w="866" w:type="pct"/>
            <w:vMerge w:val="restart"/>
          </w:tcPr>
          <w:p w14:paraId="686944CE" w14:textId="4330F44A" w:rsidR="00207FAE" w:rsidRPr="00E54543" w:rsidRDefault="00207FAE" w:rsidP="00207FAE">
            <w:pPr>
              <w:widowControl w:val="0"/>
              <w:spacing w:before="20" w:after="20" w:line="240" w:lineRule="auto"/>
              <w:rPr>
                <w:sz w:val="18"/>
                <w:szCs w:val="18"/>
              </w:rPr>
            </w:pPr>
            <w:r>
              <w:rPr>
                <w:sz w:val="18"/>
                <w:szCs w:val="18"/>
              </w:rPr>
              <w:t>Service Over Counter (SOC)</w:t>
            </w:r>
          </w:p>
        </w:tc>
        <w:tc>
          <w:tcPr>
            <w:tcW w:w="625" w:type="pct"/>
          </w:tcPr>
          <w:p w14:paraId="29818447" w14:textId="32B083B1" w:rsidR="00207FAE" w:rsidRPr="00E54543" w:rsidRDefault="00207FAE" w:rsidP="00207FAE">
            <w:pPr>
              <w:widowControl w:val="0"/>
              <w:spacing w:before="20" w:after="20" w:line="240" w:lineRule="auto"/>
              <w:jc w:val="center"/>
              <w:rPr>
                <w:sz w:val="18"/>
                <w:szCs w:val="18"/>
              </w:rPr>
            </w:pPr>
            <w:r w:rsidRPr="00E54543">
              <w:rPr>
                <w:sz w:val="18"/>
                <w:szCs w:val="18"/>
              </w:rPr>
              <w:t>38 (M)</w:t>
            </w:r>
          </w:p>
        </w:tc>
        <w:tc>
          <w:tcPr>
            <w:tcW w:w="577" w:type="pct"/>
          </w:tcPr>
          <w:p w14:paraId="68BC71C8" w14:textId="38B8DA25" w:rsidR="00207FAE" w:rsidRPr="00E54543" w:rsidRDefault="00207FAE" w:rsidP="00207FAE">
            <w:pPr>
              <w:widowControl w:val="0"/>
              <w:spacing w:before="20" w:after="20" w:line="240" w:lineRule="auto"/>
              <w:jc w:val="center"/>
              <w:rPr>
                <w:sz w:val="18"/>
                <w:szCs w:val="18"/>
              </w:rPr>
            </w:pPr>
            <w:r w:rsidRPr="00E54543">
              <w:rPr>
                <w:sz w:val="18"/>
                <w:szCs w:val="18"/>
              </w:rPr>
              <w:t>≥32</w:t>
            </w:r>
          </w:p>
        </w:tc>
        <w:tc>
          <w:tcPr>
            <w:tcW w:w="672" w:type="pct"/>
          </w:tcPr>
          <w:p w14:paraId="2065E544" w14:textId="184D2F0A" w:rsidR="00207FAE" w:rsidRPr="00E54543" w:rsidRDefault="00207FAE" w:rsidP="00207FAE">
            <w:pPr>
              <w:widowControl w:val="0"/>
              <w:spacing w:before="20" w:after="20" w:line="240" w:lineRule="auto"/>
              <w:rPr>
                <w:sz w:val="18"/>
                <w:szCs w:val="18"/>
              </w:rPr>
            </w:pPr>
            <w:r>
              <w:rPr>
                <w:sz w:val="18"/>
                <w:szCs w:val="18"/>
              </w:rPr>
              <w:t>SOC.RC.M</w:t>
            </w:r>
          </w:p>
        </w:tc>
        <w:tc>
          <w:tcPr>
            <w:tcW w:w="625" w:type="pct"/>
          </w:tcPr>
          <w:p w14:paraId="001932DB" w14:textId="17C9468E" w:rsidR="00207FAE" w:rsidRPr="00E54543" w:rsidRDefault="0078471E" w:rsidP="00207FAE">
            <w:pPr>
              <w:widowControl w:val="0"/>
              <w:spacing w:before="20" w:after="20" w:line="240" w:lineRule="auto"/>
              <w:rPr>
                <w:sz w:val="18"/>
                <w:szCs w:val="18"/>
              </w:rPr>
            </w:pPr>
            <w:r w:rsidRPr="0078471E">
              <w:rPr>
                <w:sz w:val="18"/>
                <w:szCs w:val="18"/>
              </w:rPr>
              <w:t>0.44 x TDA + 0.11</w:t>
            </w:r>
          </w:p>
        </w:tc>
      </w:tr>
      <w:tr w:rsidR="00207FAE" w:rsidRPr="00986B41" w14:paraId="19D2DC41" w14:textId="77777777" w:rsidTr="00E54543">
        <w:trPr>
          <w:trHeight w:val="20"/>
        </w:trPr>
        <w:tc>
          <w:tcPr>
            <w:tcW w:w="673" w:type="pct"/>
            <w:vMerge/>
          </w:tcPr>
          <w:p w14:paraId="2131A441" w14:textId="77777777" w:rsidR="00207FAE" w:rsidRPr="00E54543" w:rsidRDefault="00207FAE" w:rsidP="00207FAE">
            <w:pPr>
              <w:widowControl w:val="0"/>
              <w:spacing w:before="20" w:after="20" w:line="240" w:lineRule="auto"/>
              <w:rPr>
                <w:sz w:val="18"/>
                <w:szCs w:val="18"/>
              </w:rPr>
            </w:pPr>
          </w:p>
        </w:tc>
        <w:tc>
          <w:tcPr>
            <w:tcW w:w="962" w:type="pct"/>
            <w:vMerge/>
          </w:tcPr>
          <w:p w14:paraId="087716ED" w14:textId="77777777" w:rsidR="00207FAE" w:rsidRPr="00E54543" w:rsidRDefault="00207FAE" w:rsidP="00207FAE">
            <w:pPr>
              <w:widowControl w:val="0"/>
              <w:spacing w:before="20" w:after="20" w:line="240" w:lineRule="auto"/>
              <w:rPr>
                <w:sz w:val="18"/>
                <w:szCs w:val="18"/>
              </w:rPr>
            </w:pPr>
          </w:p>
        </w:tc>
        <w:tc>
          <w:tcPr>
            <w:tcW w:w="866" w:type="pct"/>
            <w:vMerge/>
          </w:tcPr>
          <w:p w14:paraId="5BB7363F" w14:textId="77777777" w:rsidR="00207FAE" w:rsidRPr="00E54543" w:rsidRDefault="00207FAE" w:rsidP="00207FAE">
            <w:pPr>
              <w:widowControl w:val="0"/>
              <w:spacing w:before="20" w:after="20" w:line="240" w:lineRule="auto"/>
              <w:rPr>
                <w:sz w:val="18"/>
                <w:szCs w:val="18"/>
              </w:rPr>
            </w:pPr>
          </w:p>
        </w:tc>
        <w:tc>
          <w:tcPr>
            <w:tcW w:w="625" w:type="pct"/>
          </w:tcPr>
          <w:p w14:paraId="1EA8F8EA" w14:textId="269583CD" w:rsidR="00207FAE" w:rsidRPr="00E54543" w:rsidRDefault="00207FAE" w:rsidP="00207FAE">
            <w:pPr>
              <w:widowControl w:val="0"/>
              <w:spacing w:before="20" w:after="20" w:line="240" w:lineRule="auto"/>
              <w:jc w:val="center"/>
              <w:rPr>
                <w:sz w:val="18"/>
                <w:szCs w:val="18"/>
              </w:rPr>
            </w:pPr>
            <w:r w:rsidRPr="00E54543">
              <w:rPr>
                <w:sz w:val="18"/>
                <w:szCs w:val="18"/>
              </w:rPr>
              <w:t>0 (L)</w:t>
            </w:r>
          </w:p>
        </w:tc>
        <w:tc>
          <w:tcPr>
            <w:tcW w:w="577" w:type="pct"/>
          </w:tcPr>
          <w:p w14:paraId="5361DD4F" w14:textId="50EE1874" w:rsidR="00207FAE" w:rsidRPr="00E54543" w:rsidRDefault="00207FAE" w:rsidP="00207FAE">
            <w:pPr>
              <w:widowControl w:val="0"/>
              <w:spacing w:before="20" w:after="20" w:line="240" w:lineRule="auto"/>
              <w:jc w:val="center"/>
              <w:rPr>
                <w:sz w:val="18"/>
                <w:szCs w:val="18"/>
              </w:rPr>
            </w:pPr>
            <w:r w:rsidRPr="00E54543">
              <w:rPr>
                <w:sz w:val="18"/>
                <w:szCs w:val="18"/>
              </w:rPr>
              <w:t>&lt;32</w:t>
            </w:r>
          </w:p>
        </w:tc>
        <w:tc>
          <w:tcPr>
            <w:tcW w:w="672" w:type="pct"/>
          </w:tcPr>
          <w:p w14:paraId="6C73F14B" w14:textId="2A0D9303" w:rsidR="00207FAE" w:rsidRPr="00E54543" w:rsidRDefault="00207FAE" w:rsidP="00207FAE">
            <w:pPr>
              <w:widowControl w:val="0"/>
              <w:spacing w:before="20" w:after="20" w:line="240" w:lineRule="auto"/>
              <w:rPr>
                <w:sz w:val="18"/>
                <w:szCs w:val="18"/>
              </w:rPr>
            </w:pPr>
            <w:r>
              <w:rPr>
                <w:sz w:val="18"/>
                <w:szCs w:val="18"/>
              </w:rPr>
              <w:t>SOC.RC.L</w:t>
            </w:r>
          </w:p>
        </w:tc>
        <w:tc>
          <w:tcPr>
            <w:tcW w:w="625" w:type="pct"/>
          </w:tcPr>
          <w:p w14:paraId="36FCC308" w14:textId="1AD47208" w:rsidR="00207FAE" w:rsidRPr="00E54543" w:rsidRDefault="002C4BFF" w:rsidP="00207FAE">
            <w:pPr>
              <w:widowControl w:val="0"/>
              <w:spacing w:before="20" w:after="20" w:line="240" w:lineRule="auto"/>
              <w:rPr>
                <w:sz w:val="18"/>
                <w:szCs w:val="18"/>
              </w:rPr>
            </w:pPr>
            <w:r w:rsidRPr="002C4BFF">
              <w:rPr>
                <w:sz w:val="18"/>
                <w:szCs w:val="18"/>
              </w:rPr>
              <w:t>0.93 x TDA + 0.22</w:t>
            </w:r>
          </w:p>
        </w:tc>
      </w:tr>
      <w:tr w:rsidR="003A6F6F" w:rsidRPr="00986B41" w14:paraId="3872A64A" w14:textId="77777777" w:rsidTr="00E54543">
        <w:trPr>
          <w:trHeight w:val="20"/>
        </w:trPr>
        <w:tc>
          <w:tcPr>
            <w:tcW w:w="673" w:type="pct"/>
            <w:vMerge w:val="restart"/>
          </w:tcPr>
          <w:p w14:paraId="124B0798" w14:textId="77777777" w:rsidR="003A6F6F" w:rsidRDefault="003A6F6F" w:rsidP="00207FAE">
            <w:pPr>
              <w:widowControl w:val="0"/>
              <w:spacing w:before="20" w:after="20" w:line="240" w:lineRule="auto"/>
              <w:rPr>
                <w:sz w:val="18"/>
                <w:szCs w:val="18"/>
              </w:rPr>
            </w:pPr>
          </w:p>
          <w:p w14:paraId="636F03AB" w14:textId="77777777" w:rsidR="003A6F6F" w:rsidRPr="00E54543" w:rsidRDefault="003A6F6F" w:rsidP="00207FAE">
            <w:pPr>
              <w:widowControl w:val="0"/>
              <w:spacing w:before="20" w:after="20" w:line="240" w:lineRule="auto"/>
              <w:rPr>
                <w:sz w:val="18"/>
                <w:szCs w:val="18"/>
              </w:rPr>
            </w:pPr>
            <w:r w:rsidRPr="00E54543">
              <w:rPr>
                <w:sz w:val="18"/>
                <w:szCs w:val="18"/>
              </w:rPr>
              <w:t xml:space="preserve">Self-Contained (SC) </w:t>
            </w:r>
          </w:p>
        </w:tc>
        <w:tc>
          <w:tcPr>
            <w:tcW w:w="962" w:type="pct"/>
            <w:vMerge w:val="restart"/>
          </w:tcPr>
          <w:p w14:paraId="34ECB2D4" w14:textId="77777777" w:rsidR="003A6F6F" w:rsidRPr="00E54543" w:rsidRDefault="003A6F6F" w:rsidP="00207FAE">
            <w:pPr>
              <w:widowControl w:val="0"/>
              <w:spacing w:before="20" w:after="20" w:line="240" w:lineRule="auto"/>
              <w:rPr>
                <w:sz w:val="18"/>
                <w:szCs w:val="18"/>
              </w:rPr>
            </w:pPr>
            <w:r w:rsidRPr="00E54543">
              <w:rPr>
                <w:sz w:val="18"/>
                <w:szCs w:val="18"/>
              </w:rPr>
              <w:t xml:space="preserve">Self-Contained Commercial Refrigerators and Commercial Freezers </w:t>
            </w:r>
            <w:proofErr w:type="gramStart"/>
            <w:r w:rsidRPr="00E54543">
              <w:rPr>
                <w:sz w:val="18"/>
                <w:szCs w:val="18"/>
              </w:rPr>
              <w:t>With</w:t>
            </w:r>
            <w:proofErr w:type="gramEnd"/>
            <w:r w:rsidRPr="00E54543">
              <w:rPr>
                <w:sz w:val="18"/>
                <w:szCs w:val="18"/>
              </w:rPr>
              <w:t xml:space="preserve"> Doors</w:t>
            </w:r>
          </w:p>
        </w:tc>
        <w:tc>
          <w:tcPr>
            <w:tcW w:w="866" w:type="pct"/>
            <w:vMerge w:val="restart"/>
          </w:tcPr>
          <w:p w14:paraId="77954495" w14:textId="77777777" w:rsidR="003A6F6F" w:rsidRPr="00E54543" w:rsidRDefault="003A6F6F" w:rsidP="00207FAE">
            <w:pPr>
              <w:widowControl w:val="0"/>
              <w:spacing w:before="20" w:after="20" w:line="240" w:lineRule="auto"/>
              <w:rPr>
                <w:sz w:val="18"/>
                <w:szCs w:val="18"/>
              </w:rPr>
            </w:pPr>
            <w:r w:rsidRPr="00E54543">
              <w:rPr>
                <w:sz w:val="18"/>
                <w:szCs w:val="18"/>
              </w:rPr>
              <w:t>Horizontal Closed Transparent (HCT)</w:t>
            </w:r>
          </w:p>
        </w:tc>
        <w:tc>
          <w:tcPr>
            <w:tcW w:w="625" w:type="pct"/>
          </w:tcPr>
          <w:p w14:paraId="3474F29A" w14:textId="77777777" w:rsidR="003A6F6F" w:rsidRPr="00E54543" w:rsidRDefault="003A6F6F" w:rsidP="00207FAE">
            <w:pPr>
              <w:widowControl w:val="0"/>
              <w:spacing w:before="20" w:after="20" w:line="240" w:lineRule="auto"/>
              <w:jc w:val="center"/>
              <w:rPr>
                <w:sz w:val="18"/>
                <w:szCs w:val="18"/>
              </w:rPr>
            </w:pPr>
            <w:r w:rsidRPr="00E54543">
              <w:rPr>
                <w:sz w:val="18"/>
                <w:szCs w:val="18"/>
              </w:rPr>
              <w:t>0 (L)</w:t>
            </w:r>
          </w:p>
        </w:tc>
        <w:tc>
          <w:tcPr>
            <w:tcW w:w="577" w:type="pct"/>
          </w:tcPr>
          <w:p w14:paraId="058BDC22" w14:textId="77777777" w:rsidR="003A6F6F" w:rsidRPr="00E54543" w:rsidRDefault="003A6F6F" w:rsidP="00207FAE">
            <w:pPr>
              <w:widowControl w:val="0"/>
              <w:spacing w:before="20" w:after="20" w:line="240" w:lineRule="auto"/>
              <w:jc w:val="center"/>
              <w:rPr>
                <w:sz w:val="18"/>
                <w:szCs w:val="18"/>
              </w:rPr>
            </w:pPr>
            <w:r w:rsidRPr="00E54543">
              <w:rPr>
                <w:sz w:val="18"/>
                <w:szCs w:val="18"/>
              </w:rPr>
              <w:t>&lt;32</w:t>
            </w:r>
          </w:p>
        </w:tc>
        <w:tc>
          <w:tcPr>
            <w:tcW w:w="672" w:type="pct"/>
          </w:tcPr>
          <w:p w14:paraId="6188C430" w14:textId="77777777" w:rsidR="003A6F6F" w:rsidRPr="00E54543" w:rsidRDefault="003A6F6F" w:rsidP="00207FAE">
            <w:pPr>
              <w:widowControl w:val="0"/>
              <w:spacing w:before="20" w:after="20" w:line="240" w:lineRule="auto"/>
              <w:rPr>
                <w:sz w:val="18"/>
                <w:szCs w:val="18"/>
              </w:rPr>
            </w:pPr>
            <w:r w:rsidRPr="00E54543">
              <w:rPr>
                <w:sz w:val="18"/>
                <w:szCs w:val="18"/>
              </w:rPr>
              <w:t>HCT.SC.L</w:t>
            </w:r>
          </w:p>
        </w:tc>
        <w:tc>
          <w:tcPr>
            <w:tcW w:w="625" w:type="pct"/>
          </w:tcPr>
          <w:p w14:paraId="56DB5C59" w14:textId="08267491" w:rsidR="003A6F6F" w:rsidRPr="00E54543" w:rsidRDefault="003A6F6F" w:rsidP="00207FAE">
            <w:pPr>
              <w:widowControl w:val="0"/>
              <w:spacing w:before="20" w:after="20" w:line="240" w:lineRule="auto"/>
              <w:rPr>
                <w:sz w:val="18"/>
                <w:szCs w:val="18"/>
              </w:rPr>
            </w:pPr>
            <w:r w:rsidRPr="00E54543">
              <w:rPr>
                <w:sz w:val="18"/>
                <w:szCs w:val="18"/>
              </w:rPr>
              <w:t>0.08 × V</w:t>
            </w:r>
            <w:r w:rsidR="00297342">
              <w:rPr>
                <w:rStyle w:val="FootnoteReference"/>
                <w:sz w:val="18"/>
                <w:szCs w:val="18"/>
              </w:rPr>
              <w:footnoteReference w:id="7"/>
            </w:r>
            <w:r w:rsidRPr="00E54543">
              <w:rPr>
                <w:sz w:val="18"/>
                <w:szCs w:val="18"/>
              </w:rPr>
              <w:t xml:space="preserve"> + 1.23.</w:t>
            </w:r>
          </w:p>
        </w:tc>
      </w:tr>
      <w:tr w:rsidR="003A6F6F" w:rsidRPr="00986B41" w14:paraId="20C5EB36" w14:textId="77777777" w:rsidTr="00E54543">
        <w:trPr>
          <w:trHeight w:val="20"/>
        </w:trPr>
        <w:tc>
          <w:tcPr>
            <w:tcW w:w="673" w:type="pct"/>
            <w:vMerge/>
          </w:tcPr>
          <w:p w14:paraId="21622433" w14:textId="77777777" w:rsidR="003A6F6F" w:rsidRPr="00E54543" w:rsidRDefault="003A6F6F" w:rsidP="00207FAE">
            <w:pPr>
              <w:widowControl w:val="0"/>
              <w:spacing w:before="20" w:after="20" w:line="240" w:lineRule="auto"/>
              <w:rPr>
                <w:sz w:val="18"/>
                <w:szCs w:val="18"/>
              </w:rPr>
            </w:pPr>
          </w:p>
        </w:tc>
        <w:tc>
          <w:tcPr>
            <w:tcW w:w="962" w:type="pct"/>
            <w:vMerge/>
          </w:tcPr>
          <w:p w14:paraId="4D137EA9" w14:textId="77777777" w:rsidR="003A6F6F" w:rsidRPr="00E54543" w:rsidRDefault="003A6F6F" w:rsidP="00207FAE">
            <w:pPr>
              <w:widowControl w:val="0"/>
              <w:spacing w:before="20" w:after="20" w:line="240" w:lineRule="auto"/>
              <w:rPr>
                <w:sz w:val="18"/>
                <w:szCs w:val="18"/>
              </w:rPr>
            </w:pPr>
          </w:p>
        </w:tc>
        <w:tc>
          <w:tcPr>
            <w:tcW w:w="866" w:type="pct"/>
            <w:vMerge/>
          </w:tcPr>
          <w:p w14:paraId="7FEEF3D4" w14:textId="77777777" w:rsidR="003A6F6F" w:rsidRPr="00E54543" w:rsidRDefault="003A6F6F" w:rsidP="00207FAE">
            <w:pPr>
              <w:widowControl w:val="0"/>
              <w:spacing w:before="20" w:after="20" w:line="240" w:lineRule="auto"/>
              <w:rPr>
                <w:sz w:val="18"/>
                <w:szCs w:val="18"/>
              </w:rPr>
            </w:pPr>
          </w:p>
        </w:tc>
        <w:tc>
          <w:tcPr>
            <w:tcW w:w="625" w:type="pct"/>
          </w:tcPr>
          <w:p w14:paraId="0D0D1570" w14:textId="77777777" w:rsidR="003A6F6F" w:rsidRPr="00E54543" w:rsidRDefault="003A6F6F" w:rsidP="00207FAE">
            <w:pPr>
              <w:widowControl w:val="0"/>
              <w:spacing w:before="20" w:after="20" w:line="240" w:lineRule="auto"/>
              <w:jc w:val="center"/>
              <w:rPr>
                <w:sz w:val="18"/>
                <w:szCs w:val="18"/>
              </w:rPr>
            </w:pPr>
            <w:r w:rsidRPr="00E54543">
              <w:rPr>
                <w:sz w:val="18"/>
                <w:szCs w:val="18"/>
              </w:rPr>
              <w:t>38 (M)</w:t>
            </w:r>
          </w:p>
        </w:tc>
        <w:tc>
          <w:tcPr>
            <w:tcW w:w="577" w:type="pct"/>
          </w:tcPr>
          <w:p w14:paraId="49FC2242" w14:textId="77777777" w:rsidR="003A6F6F" w:rsidRPr="00E54543" w:rsidRDefault="003A6F6F" w:rsidP="00207FAE">
            <w:pPr>
              <w:widowControl w:val="0"/>
              <w:spacing w:before="20" w:after="20" w:line="240" w:lineRule="auto"/>
              <w:jc w:val="center"/>
              <w:rPr>
                <w:sz w:val="18"/>
                <w:szCs w:val="18"/>
              </w:rPr>
            </w:pPr>
            <w:r w:rsidRPr="00E54543">
              <w:rPr>
                <w:sz w:val="18"/>
                <w:szCs w:val="18"/>
              </w:rPr>
              <w:t>≥32</w:t>
            </w:r>
          </w:p>
        </w:tc>
        <w:tc>
          <w:tcPr>
            <w:tcW w:w="672" w:type="pct"/>
          </w:tcPr>
          <w:p w14:paraId="68BB1D22" w14:textId="77777777" w:rsidR="003A6F6F" w:rsidRPr="00E54543" w:rsidRDefault="003A6F6F" w:rsidP="00207FAE">
            <w:pPr>
              <w:widowControl w:val="0"/>
              <w:spacing w:before="20" w:after="20" w:line="240" w:lineRule="auto"/>
              <w:rPr>
                <w:sz w:val="18"/>
                <w:szCs w:val="18"/>
              </w:rPr>
            </w:pPr>
            <w:r>
              <w:rPr>
                <w:sz w:val="18"/>
                <w:szCs w:val="18"/>
              </w:rPr>
              <w:t>HCT.SC.M</w:t>
            </w:r>
          </w:p>
        </w:tc>
        <w:tc>
          <w:tcPr>
            <w:tcW w:w="625" w:type="pct"/>
          </w:tcPr>
          <w:p w14:paraId="6D59956A" w14:textId="77777777" w:rsidR="003A6F6F" w:rsidRPr="00E54543" w:rsidRDefault="003A6F6F" w:rsidP="00207FAE">
            <w:pPr>
              <w:widowControl w:val="0"/>
              <w:spacing w:before="20" w:after="20" w:line="240" w:lineRule="auto"/>
              <w:rPr>
                <w:sz w:val="18"/>
                <w:szCs w:val="18"/>
              </w:rPr>
            </w:pPr>
            <w:r w:rsidRPr="002B0669">
              <w:rPr>
                <w:sz w:val="18"/>
                <w:szCs w:val="18"/>
              </w:rPr>
              <w:t>0.06 x V + 0.37</w:t>
            </w:r>
          </w:p>
        </w:tc>
      </w:tr>
      <w:tr w:rsidR="003A6F6F" w:rsidRPr="00986B41" w14:paraId="41978BE3" w14:textId="77777777" w:rsidTr="00E54543">
        <w:trPr>
          <w:trHeight w:val="20"/>
        </w:trPr>
        <w:tc>
          <w:tcPr>
            <w:tcW w:w="673" w:type="pct"/>
            <w:vMerge/>
          </w:tcPr>
          <w:p w14:paraId="63DD3914" w14:textId="77777777" w:rsidR="003A6F6F" w:rsidRPr="00E54543" w:rsidRDefault="003A6F6F" w:rsidP="00207FAE">
            <w:pPr>
              <w:widowControl w:val="0"/>
              <w:spacing w:before="20" w:after="20" w:line="240" w:lineRule="auto"/>
              <w:rPr>
                <w:sz w:val="18"/>
                <w:szCs w:val="18"/>
              </w:rPr>
            </w:pPr>
          </w:p>
        </w:tc>
        <w:tc>
          <w:tcPr>
            <w:tcW w:w="962" w:type="pct"/>
            <w:vMerge/>
          </w:tcPr>
          <w:p w14:paraId="38E39287" w14:textId="77777777" w:rsidR="003A6F6F" w:rsidRPr="00E54543" w:rsidRDefault="003A6F6F" w:rsidP="00207FAE">
            <w:pPr>
              <w:widowControl w:val="0"/>
              <w:spacing w:before="20" w:after="20" w:line="240" w:lineRule="auto"/>
              <w:rPr>
                <w:sz w:val="18"/>
                <w:szCs w:val="18"/>
              </w:rPr>
            </w:pPr>
          </w:p>
        </w:tc>
        <w:tc>
          <w:tcPr>
            <w:tcW w:w="866" w:type="pct"/>
            <w:vMerge w:val="restart"/>
          </w:tcPr>
          <w:p w14:paraId="0D790BDB" w14:textId="77777777" w:rsidR="003A6F6F" w:rsidRPr="00E54543" w:rsidRDefault="003A6F6F" w:rsidP="00207FAE">
            <w:pPr>
              <w:widowControl w:val="0"/>
              <w:spacing w:before="20" w:after="20" w:line="240" w:lineRule="auto"/>
              <w:rPr>
                <w:sz w:val="18"/>
                <w:szCs w:val="18"/>
              </w:rPr>
            </w:pPr>
            <w:r w:rsidRPr="00E54543">
              <w:rPr>
                <w:sz w:val="18"/>
                <w:szCs w:val="18"/>
              </w:rPr>
              <w:t>Horizontal Closed Solid (HCS)</w:t>
            </w:r>
          </w:p>
        </w:tc>
        <w:tc>
          <w:tcPr>
            <w:tcW w:w="625" w:type="pct"/>
          </w:tcPr>
          <w:p w14:paraId="77C8769E" w14:textId="77777777" w:rsidR="003A6F6F" w:rsidRPr="00E54543" w:rsidRDefault="003A6F6F" w:rsidP="00207FAE">
            <w:pPr>
              <w:widowControl w:val="0"/>
              <w:spacing w:before="20" w:after="20" w:line="240" w:lineRule="auto"/>
              <w:jc w:val="center"/>
              <w:rPr>
                <w:sz w:val="18"/>
                <w:szCs w:val="18"/>
              </w:rPr>
            </w:pPr>
            <w:r w:rsidRPr="00E54543">
              <w:rPr>
                <w:sz w:val="18"/>
                <w:szCs w:val="18"/>
              </w:rPr>
              <w:t>38 (M)</w:t>
            </w:r>
          </w:p>
        </w:tc>
        <w:tc>
          <w:tcPr>
            <w:tcW w:w="577" w:type="pct"/>
          </w:tcPr>
          <w:p w14:paraId="607B9617" w14:textId="77777777" w:rsidR="003A6F6F" w:rsidRPr="00E54543" w:rsidRDefault="003A6F6F" w:rsidP="00207FAE">
            <w:pPr>
              <w:widowControl w:val="0"/>
              <w:spacing w:before="20" w:after="20" w:line="240" w:lineRule="auto"/>
              <w:jc w:val="center"/>
              <w:rPr>
                <w:sz w:val="18"/>
                <w:szCs w:val="18"/>
              </w:rPr>
            </w:pPr>
            <w:r w:rsidRPr="00E54543">
              <w:rPr>
                <w:sz w:val="18"/>
                <w:szCs w:val="18"/>
              </w:rPr>
              <w:t>≥32</w:t>
            </w:r>
          </w:p>
        </w:tc>
        <w:tc>
          <w:tcPr>
            <w:tcW w:w="672" w:type="pct"/>
          </w:tcPr>
          <w:p w14:paraId="0039D297" w14:textId="77777777" w:rsidR="003A6F6F" w:rsidRPr="00E54543" w:rsidRDefault="003A6F6F" w:rsidP="00207FAE">
            <w:pPr>
              <w:widowControl w:val="0"/>
              <w:spacing w:before="20" w:after="20" w:line="240" w:lineRule="auto"/>
              <w:rPr>
                <w:sz w:val="18"/>
                <w:szCs w:val="18"/>
              </w:rPr>
            </w:pPr>
            <w:r w:rsidRPr="00E54543">
              <w:rPr>
                <w:sz w:val="18"/>
                <w:szCs w:val="18"/>
              </w:rPr>
              <w:t>HCS.SC.M</w:t>
            </w:r>
          </w:p>
        </w:tc>
        <w:tc>
          <w:tcPr>
            <w:tcW w:w="625" w:type="pct"/>
          </w:tcPr>
          <w:p w14:paraId="4550A35A" w14:textId="77777777" w:rsidR="003A6F6F" w:rsidRPr="00E54543" w:rsidRDefault="003A6F6F" w:rsidP="00207FAE">
            <w:pPr>
              <w:widowControl w:val="0"/>
              <w:spacing w:before="20" w:after="20" w:line="240" w:lineRule="auto"/>
              <w:rPr>
                <w:sz w:val="18"/>
                <w:szCs w:val="18"/>
              </w:rPr>
            </w:pPr>
            <w:r w:rsidRPr="00E54543">
              <w:rPr>
                <w:sz w:val="18"/>
                <w:szCs w:val="18"/>
              </w:rPr>
              <w:t>0.05 × V + 0.91.</w:t>
            </w:r>
          </w:p>
        </w:tc>
      </w:tr>
      <w:tr w:rsidR="003A6F6F" w:rsidRPr="00986B41" w14:paraId="5593942C" w14:textId="77777777" w:rsidTr="00E54543">
        <w:trPr>
          <w:trHeight w:val="20"/>
        </w:trPr>
        <w:tc>
          <w:tcPr>
            <w:tcW w:w="673" w:type="pct"/>
            <w:vMerge/>
          </w:tcPr>
          <w:p w14:paraId="6DDE63AC" w14:textId="77777777" w:rsidR="003A6F6F" w:rsidRPr="00E54543" w:rsidRDefault="003A6F6F" w:rsidP="00207FAE">
            <w:pPr>
              <w:widowControl w:val="0"/>
              <w:spacing w:before="20" w:after="20" w:line="240" w:lineRule="auto"/>
              <w:rPr>
                <w:sz w:val="18"/>
                <w:szCs w:val="18"/>
              </w:rPr>
            </w:pPr>
          </w:p>
        </w:tc>
        <w:tc>
          <w:tcPr>
            <w:tcW w:w="962" w:type="pct"/>
            <w:vMerge/>
          </w:tcPr>
          <w:p w14:paraId="07A2A005" w14:textId="77777777" w:rsidR="003A6F6F" w:rsidRPr="00E54543" w:rsidRDefault="003A6F6F" w:rsidP="00207FAE">
            <w:pPr>
              <w:widowControl w:val="0"/>
              <w:spacing w:before="20" w:after="20" w:line="240" w:lineRule="auto"/>
              <w:rPr>
                <w:sz w:val="18"/>
                <w:szCs w:val="18"/>
              </w:rPr>
            </w:pPr>
          </w:p>
        </w:tc>
        <w:tc>
          <w:tcPr>
            <w:tcW w:w="866" w:type="pct"/>
            <w:vMerge/>
          </w:tcPr>
          <w:p w14:paraId="04E18DE7" w14:textId="77777777" w:rsidR="003A6F6F" w:rsidRPr="00E54543" w:rsidRDefault="003A6F6F" w:rsidP="00207FAE">
            <w:pPr>
              <w:widowControl w:val="0"/>
              <w:spacing w:before="20" w:after="20" w:line="240" w:lineRule="auto"/>
              <w:rPr>
                <w:sz w:val="18"/>
                <w:szCs w:val="18"/>
              </w:rPr>
            </w:pPr>
          </w:p>
        </w:tc>
        <w:tc>
          <w:tcPr>
            <w:tcW w:w="625" w:type="pct"/>
          </w:tcPr>
          <w:p w14:paraId="5C0D7F3A" w14:textId="77777777" w:rsidR="003A6F6F" w:rsidRPr="00E54543" w:rsidRDefault="003A6F6F" w:rsidP="00207FAE">
            <w:pPr>
              <w:widowControl w:val="0"/>
              <w:spacing w:before="20" w:after="20" w:line="240" w:lineRule="auto"/>
              <w:jc w:val="center"/>
              <w:rPr>
                <w:sz w:val="18"/>
                <w:szCs w:val="18"/>
              </w:rPr>
            </w:pPr>
            <w:r w:rsidRPr="00E54543">
              <w:rPr>
                <w:sz w:val="18"/>
                <w:szCs w:val="18"/>
              </w:rPr>
              <w:t>0 (L)</w:t>
            </w:r>
          </w:p>
        </w:tc>
        <w:tc>
          <w:tcPr>
            <w:tcW w:w="577" w:type="pct"/>
          </w:tcPr>
          <w:p w14:paraId="0CD6C9A3" w14:textId="77777777" w:rsidR="003A6F6F" w:rsidRPr="00E54543" w:rsidRDefault="003A6F6F" w:rsidP="00207FAE">
            <w:pPr>
              <w:widowControl w:val="0"/>
              <w:spacing w:before="20" w:after="20" w:line="240" w:lineRule="auto"/>
              <w:jc w:val="center"/>
              <w:rPr>
                <w:sz w:val="18"/>
                <w:szCs w:val="18"/>
              </w:rPr>
            </w:pPr>
            <w:r w:rsidRPr="00E54543">
              <w:rPr>
                <w:sz w:val="18"/>
                <w:szCs w:val="18"/>
              </w:rPr>
              <w:t>&lt;32</w:t>
            </w:r>
          </w:p>
        </w:tc>
        <w:tc>
          <w:tcPr>
            <w:tcW w:w="672" w:type="pct"/>
          </w:tcPr>
          <w:p w14:paraId="27022578" w14:textId="77777777" w:rsidR="003A6F6F" w:rsidRPr="00E54543" w:rsidRDefault="003A6F6F" w:rsidP="00207FAE">
            <w:pPr>
              <w:widowControl w:val="0"/>
              <w:spacing w:before="20" w:after="20" w:line="240" w:lineRule="auto"/>
              <w:rPr>
                <w:sz w:val="18"/>
                <w:szCs w:val="18"/>
              </w:rPr>
            </w:pPr>
            <w:r w:rsidRPr="00E54543">
              <w:rPr>
                <w:sz w:val="18"/>
                <w:szCs w:val="18"/>
              </w:rPr>
              <w:t>HC</w:t>
            </w:r>
            <w:r>
              <w:rPr>
                <w:sz w:val="18"/>
                <w:szCs w:val="18"/>
              </w:rPr>
              <w:t>S</w:t>
            </w:r>
            <w:r w:rsidRPr="00E54543">
              <w:rPr>
                <w:sz w:val="18"/>
                <w:szCs w:val="18"/>
              </w:rPr>
              <w:t>.SC.L</w:t>
            </w:r>
          </w:p>
        </w:tc>
        <w:tc>
          <w:tcPr>
            <w:tcW w:w="625" w:type="pct"/>
          </w:tcPr>
          <w:p w14:paraId="1864295D" w14:textId="77777777" w:rsidR="003A6F6F" w:rsidRPr="00E54543" w:rsidRDefault="003A6F6F" w:rsidP="00207FAE">
            <w:pPr>
              <w:widowControl w:val="0"/>
              <w:spacing w:before="20" w:after="20" w:line="240" w:lineRule="auto"/>
              <w:rPr>
                <w:sz w:val="18"/>
                <w:szCs w:val="18"/>
              </w:rPr>
            </w:pPr>
            <w:r w:rsidRPr="002870D0">
              <w:rPr>
                <w:sz w:val="18"/>
                <w:szCs w:val="18"/>
              </w:rPr>
              <w:t>0.06 x V + 1.12</w:t>
            </w:r>
          </w:p>
        </w:tc>
      </w:tr>
      <w:tr w:rsidR="003A6F6F" w:rsidRPr="00986B41" w14:paraId="58C9B86A" w14:textId="77777777" w:rsidTr="00E54543">
        <w:trPr>
          <w:trHeight w:val="20"/>
        </w:trPr>
        <w:tc>
          <w:tcPr>
            <w:tcW w:w="673" w:type="pct"/>
            <w:vMerge/>
          </w:tcPr>
          <w:p w14:paraId="19A84F74" w14:textId="77777777" w:rsidR="003A6F6F" w:rsidRPr="00E54543" w:rsidRDefault="003A6F6F" w:rsidP="00207FAE">
            <w:pPr>
              <w:widowControl w:val="0"/>
              <w:spacing w:before="20" w:after="20" w:line="240" w:lineRule="auto"/>
              <w:rPr>
                <w:sz w:val="18"/>
                <w:szCs w:val="18"/>
              </w:rPr>
            </w:pPr>
          </w:p>
        </w:tc>
        <w:tc>
          <w:tcPr>
            <w:tcW w:w="962" w:type="pct"/>
            <w:vMerge/>
          </w:tcPr>
          <w:p w14:paraId="68FCC518" w14:textId="77777777" w:rsidR="003A6F6F" w:rsidRPr="00E54543" w:rsidRDefault="003A6F6F" w:rsidP="00207FAE">
            <w:pPr>
              <w:widowControl w:val="0"/>
              <w:spacing w:before="20" w:after="20" w:line="240" w:lineRule="auto"/>
              <w:rPr>
                <w:sz w:val="18"/>
                <w:szCs w:val="18"/>
              </w:rPr>
            </w:pPr>
          </w:p>
        </w:tc>
        <w:tc>
          <w:tcPr>
            <w:tcW w:w="866" w:type="pct"/>
            <w:vMerge w:val="restart"/>
          </w:tcPr>
          <w:p w14:paraId="44220D26" w14:textId="77777777" w:rsidR="003A6F6F" w:rsidRPr="00E54543" w:rsidRDefault="003A6F6F" w:rsidP="00207FAE">
            <w:pPr>
              <w:widowControl w:val="0"/>
              <w:spacing w:before="20" w:after="20" w:line="240" w:lineRule="auto"/>
              <w:rPr>
                <w:sz w:val="18"/>
                <w:szCs w:val="18"/>
              </w:rPr>
            </w:pPr>
            <w:r w:rsidRPr="0093089B">
              <w:rPr>
                <w:sz w:val="18"/>
                <w:szCs w:val="18"/>
              </w:rPr>
              <w:t>Vertical Closed Transparent (VCT)</w:t>
            </w:r>
          </w:p>
        </w:tc>
        <w:tc>
          <w:tcPr>
            <w:tcW w:w="625" w:type="pct"/>
          </w:tcPr>
          <w:p w14:paraId="695F4611" w14:textId="77777777" w:rsidR="003A6F6F" w:rsidRPr="00E54543" w:rsidRDefault="003A6F6F" w:rsidP="00207FAE">
            <w:pPr>
              <w:widowControl w:val="0"/>
              <w:spacing w:before="20" w:after="20" w:line="240" w:lineRule="auto"/>
              <w:jc w:val="center"/>
              <w:rPr>
                <w:sz w:val="18"/>
                <w:szCs w:val="18"/>
              </w:rPr>
            </w:pPr>
            <w:r w:rsidRPr="00E54543">
              <w:rPr>
                <w:sz w:val="18"/>
                <w:szCs w:val="18"/>
              </w:rPr>
              <w:t>38 (M)</w:t>
            </w:r>
          </w:p>
        </w:tc>
        <w:tc>
          <w:tcPr>
            <w:tcW w:w="577" w:type="pct"/>
          </w:tcPr>
          <w:p w14:paraId="070FDD29" w14:textId="77777777" w:rsidR="003A6F6F" w:rsidRPr="00E54543" w:rsidRDefault="003A6F6F" w:rsidP="00207FAE">
            <w:pPr>
              <w:widowControl w:val="0"/>
              <w:spacing w:before="20" w:after="20" w:line="240" w:lineRule="auto"/>
              <w:jc w:val="center"/>
              <w:rPr>
                <w:sz w:val="18"/>
                <w:szCs w:val="18"/>
              </w:rPr>
            </w:pPr>
            <w:r w:rsidRPr="00E54543">
              <w:rPr>
                <w:sz w:val="18"/>
                <w:szCs w:val="18"/>
              </w:rPr>
              <w:t>≥32</w:t>
            </w:r>
          </w:p>
        </w:tc>
        <w:tc>
          <w:tcPr>
            <w:tcW w:w="672" w:type="pct"/>
          </w:tcPr>
          <w:p w14:paraId="06A41F5A" w14:textId="77777777" w:rsidR="003A6F6F" w:rsidRPr="00E54543" w:rsidRDefault="003A6F6F" w:rsidP="00207FAE">
            <w:pPr>
              <w:widowControl w:val="0"/>
              <w:spacing w:before="20" w:after="20" w:line="240" w:lineRule="auto"/>
              <w:rPr>
                <w:sz w:val="18"/>
                <w:szCs w:val="18"/>
              </w:rPr>
            </w:pPr>
            <w:r>
              <w:rPr>
                <w:sz w:val="18"/>
                <w:szCs w:val="18"/>
              </w:rPr>
              <w:t>VCT</w:t>
            </w:r>
            <w:r w:rsidRPr="00E54543">
              <w:rPr>
                <w:sz w:val="18"/>
                <w:szCs w:val="18"/>
              </w:rPr>
              <w:t>.SC.M</w:t>
            </w:r>
          </w:p>
        </w:tc>
        <w:tc>
          <w:tcPr>
            <w:tcW w:w="625" w:type="pct"/>
          </w:tcPr>
          <w:p w14:paraId="61536EAC" w14:textId="77777777" w:rsidR="003A6F6F" w:rsidRPr="002870D0" w:rsidRDefault="003A6F6F" w:rsidP="00207FAE">
            <w:pPr>
              <w:widowControl w:val="0"/>
              <w:spacing w:before="20" w:after="20" w:line="240" w:lineRule="auto"/>
              <w:rPr>
                <w:sz w:val="18"/>
                <w:szCs w:val="18"/>
              </w:rPr>
            </w:pPr>
            <w:r w:rsidRPr="00224AE7">
              <w:rPr>
                <w:sz w:val="18"/>
                <w:szCs w:val="18"/>
              </w:rPr>
              <w:t>0.1 x V + 0.86</w:t>
            </w:r>
          </w:p>
        </w:tc>
      </w:tr>
      <w:tr w:rsidR="003A6F6F" w:rsidRPr="00986B41" w14:paraId="789FC4A2" w14:textId="77777777" w:rsidTr="00E54543">
        <w:trPr>
          <w:trHeight w:val="20"/>
        </w:trPr>
        <w:tc>
          <w:tcPr>
            <w:tcW w:w="673" w:type="pct"/>
            <w:vMerge/>
          </w:tcPr>
          <w:p w14:paraId="4DB4A4FB" w14:textId="77777777" w:rsidR="003A6F6F" w:rsidRPr="00E54543" w:rsidRDefault="003A6F6F" w:rsidP="00207FAE">
            <w:pPr>
              <w:widowControl w:val="0"/>
              <w:spacing w:before="20" w:after="20" w:line="240" w:lineRule="auto"/>
              <w:rPr>
                <w:sz w:val="18"/>
                <w:szCs w:val="18"/>
              </w:rPr>
            </w:pPr>
          </w:p>
        </w:tc>
        <w:tc>
          <w:tcPr>
            <w:tcW w:w="962" w:type="pct"/>
            <w:vMerge/>
          </w:tcPr>
          <w:p w14:paraId="262A0F4C" w14:textId="77777777" w:rsidR="003A6F6F" w:rsidRPr="00E54543" w:rsidRDefault="003A6F6F" w:rsidP="00207FAE">
            <w:pPr>
              <w:widowControl w:val="0"/>
              <w:spacing w:before="20" w:after="20" w:line="240" w:lineRule="auto"/>
              <w:rPr>
                <w:sz w:val="18"/>
                <w:szCs w:val="18"/>
              </w:rPr>
            </w:pPr>
          </w:p>
        </w:tc>
        <w:tc>
          <w:tcPr>
            <w:tcW w:w="866" w:type="pct"/>
            <w:vMerge/>
          </w:tcPr>
          <w:p w14:paraId="36998F7B" w14:textId="77777777" w:rsidR="003A6F6F" w:rsidRPr="00E54543" w:rsidRDefault="003A6F6F" w:rsidP="00207FAE">
            <w:pPr>
              <w:widowControl w:val="0"/>
              <w:spacing w:before="20" w:after="20" w:line="240" w:lineRule="auto"/>
              <w:rPr>
                <w:sz w:val="18"/>
                <w:szCs w:val="18"/>
              </w:rPr>
            </w:pPr>
          </w:p>
        </w:tc>
        <w:tc>
          <w:tcPr>
            <w:tcW w:w="625" w:type="pct"/>
          </w:tcPr>
          <w:p w14:paraId="3C22365A" w14:textId="77777777" w:rsidR="003A6F6F" w:rsidRPr="00E54543" w:rsidRDefault="003A6F6F" w:rsidP="00207FAE">
            <w:pPr>
              <w:widowControl w:val="0"/>
              <w:spacing w:before="20" w:after="20" w:line="240" w:lineRule="auto"/>
              <w:jc w:val="center"/>
              <w:rPr>
                <w:sz w:val="18"/>
                <w:szCs w:val="18"/>
              </w:rPr>
            </w:pPr>
            <w:r w:rsidRPr="00E54543">
              <w:rPr>
                <w:sz w:val="18"/>
                <w:szCs w:val="18"/>
              </w:rPr>
              <w:t>0 (L)</w:t>
            </w:r>
          </w:p>
        </w:tc>
        <w:tc>
          <w:tcPr>
            <w:tcW w:w="577" w:type="pct"/>
          </w:tcPr>
          <w:p w14:paraId="078BFE47" w14:textId="77777777" w:rsidR="003A6F6F" w:rsidRPr="00E54543" w:rsidRDefault="003A6F6F" w:rsidP="00207FAE">
            <w:pPr>
              <w:widowControl w:val="0"/>
              <w:spacing w:before="20" w:after="20" w:line="240" w:lineRule="auto"/>
              <w:jc w:val="center"/>
              <w:rPr>
                <w:sz w:val="18"/>
                <w:szCs w:val="18"/>
              </w:rPr>
            </w:pPr>
            <w:r w:rsidRPr="00E54543">
              <w:rPr>
                <w:sz w:val="18"/>
                <w:szCs w:val="18"/>
              </w:rPr>
              <w:t>&lt;32</w:t>
            </w:r>
          </w:p>
        </w:tc>
        <w:tc>
          <w:tcPr>
            <w:tcW w:w="672" w:type="pct"/>
          </w:tcPr>
          <w:p w14:paraId="20A6ACA2" w14:textId="77777777" w:rsidR="003A6F6F" w:rsidRPr="00E54543" w:rsidRDefault="003A6F6F" w:rsidP="00207FAE">
            <w:pPr>
              <w:widowControl w:val="0"/>
              <w:spacing w:before="20" w:after="20" w:line="240" w:lineRule="auto"/>
              <w:rPr>
                <w:sz w:val="18"/>
                <w:szCs w:val="18"/>
              </w:rPr>
            </w:pPr>
            <w:r>
              <w:rPr>
                <w:sz w:val="18"/>
                <w:szCs w:val="18"/>
              </w:rPr>
              <w:t>VCT.</w:t>
            </w:r>
            <w:r w:rsidRPr="00E54543">
              <w:rPr>
                <w:sz w:val="18"/>
                <w:szCs w:val="18"/>
              </w:rPr>
              <w:t>SC.L</w:t>
            </w:r>
          </w:p>
        </w:tc>
        <w:tc>
          <w:tcPr>
            <w:tcW w:w="625" w:type="pct"/>
          </w:tcPr>
          <w:p w14:paraId="3539773A" w14:textId="77777777" w:rsidR="003A6F6F" w:rsidRPr="002870D0" w:rsidRDefault="003A6F6F" w:rsidP="00207FAE">
            <w:pPr>
              <w:widowControl w:val="0"/>
              <w:spacing w:before="20" w:after="20" w:line="240" w:lineRule="auto"/>
              <w:rPr>
                <w:sz w:val="18"/>
                <w:szCs w:val="18"/>
              </w:rPr>
            </w:pPr>
            <w:r w:rsidRPr="00224AE7">
              <w:rPr>
                <w:sz w:val="18"/>
                <w:szCs w:val="18"/>
              </w:rPr>
              <w:t>0.29 x V + 2.95</w:t>
            </w:r>
          </w:p>
        </w:tc>
      </w:tr>
      <w:tr w:rsidR="003A6F6F" w:rsidRPr="00986B41" w14:paraId="7B6D518C" w14:textId="77777777" w:rsidTr="00E54543">
        <w:trPr>
          <w:trHeight w:val="20"/>
        </w:trPr>
        <w:tc>
          <w:tcPr>
            <w:tcW w:w="673" w:type="pct"/>
            <w:vMerge/>
          </w:tcPr>
          <w:p w14:paraId="24476F84" w14:textId="77777777" w:rsidR="003A6F6F" w:rsidRPr="00E54543" w:rsidRDefault="003A6F6F" w:rsidP="00207FAE">
            <w:pPr>
              <w:widowControl w:val="0"/>
              <w:spacing w:before="20" w:after="20" w:line="240" w:lineRule="auto"/>
              <w:rPr>
                <w:sz w:val="18"/>
                <w:szCs w:val="18"/>
              </w:rPr>
            </w:pPr>
          </w:p>
        </w:tc>
        <w:tc>
          <w:tcPr>
            <w:tcW w:w="962" w:type="pct"/>
            <w:vMerge/>
          </w:tcPr>
          <w:p w14:paraId="638DEDBF" w14:textId="77777777" w:rsidR="003A6F6F" w:rsidRPr="00E54543" w:rsidRDefault="003A6F6F" w:rsidP="00207FAE">
            <w:pPr>
              <w:widowControl w:val="0"/>
              <w:spacing w:before="20" w:after="20" w:line="240" w:lineRule="auto"/>
              <w:rPr>
                <w:sz w:val="18"/>
                <w:szCs w:val="18"/>
              </w:rPr>
            </w:pPr>
          </w:p>
        </w:tc>
        <w:tc>
          <w:tcPr>
            <w:tcW w:w="866" w:type="pct"/>
            <w:vMerge w:val="restart"/>
          </w:tcPr>
          <w:p w14:paraId="56E6AD93" w14:textId="77777777" w:rsidR="003A6F6F" w:rsidRPr="00E54543" w:rsidRDefault="003A6F6F" w:rsidP="00207FAE">
            <w:pPr>
              <w:widowControl w:val="0"/>
              <w:spacing w:before="20" w:after="20" w:line="240" w:lineRule="auto"/>
              <w:rPr>
                <w:sz w:val="18"/>
                <w:szCs w:val="18"/>
              </w:rPr>
            </w:pPr>
            <w:r w:rsidRPr="0093089B">
              <w:rPr>
                <w:sz w:val="18"/>
                <w:szCs w:val="18"/>
              </w:rPr>
              <w:t>Vertical Closed Solid (VCS)</w:t>
            </w:r>
          </w:p>
        </w:tc>
        <w:tc>
          <w:tcPr>
            <w:tcW w:w="625" w:type="pct"/>
          </w:tcPr>
          <w:p w14:paraId="6A9DBD89" w14:textId="77777777" w:rsidR="003A6F6F" w:rsidRPr="00E54543" w:rsidRDefault="003A6F6F" w:rsidP="00207FAE">
            <w:pPr>
              <w:widowControl w:val="0"/>
              <w:spacing w:before="20" w:after="20" w:line="240" w:lineRule="auto"/>
              <w:jc w:val="center"/>
              <w:rPr>
                <w:sz w:val="18"/>
                <w:szCs w:val="18"/>
              </w:rPr>
            </w:pPr>
            <w:r w:rsidRPr="00E54543">
              <w:rPr>
                <w:sz w:val="18"/>
                <w:szCs w:val="18"/>
              </w:rPr>
              <w:t>38 (M)</w:t>
            </w:r>
          </w:p>
        </w:tc>
        <w:tc>
          <w:tcPr>
            <w:tcW w:w="577" w:type="pct"/>
          </w:tcPr>
          <w:p w14:paraId="407D2881" w14:textId="77777777" w:rsidR="003A6F6F" w:rsidRPr="00E54543" w:rsidRDefault="003A6F6F" w:rsidP="00207FAE">
            <w:pPr>
              <w:widowControl w:val="0"/>
              <w:spacing w:before="20" w:after="20" w:line="240" w:lineRule="auto"/>
              <w:jc w:val="center"/>
              <w:rPr>
                <w:sz w:val="18"/>
                <w:szCs w:val="18"/>
              </w:rPr>
            </w:pPr>
            <w:r w:rsidRPr="00E54543">
              <w:rPr>
                <w:sz w:val="18"/>
                <w:szCs w:val="18"/>
              </w:rPr>
              <w:t>≥32</w:t>
            </w:r>
          </w:p>
        </w:tc>
        <w:tc>
          <w:tcPr>
            <w:tcW w:w="672" w:type="pct"/>
          </w:tcPr>
          <w:p w14:paraId="1C87C0BF" w14:textId="77777777" w:rsidR="003A6F6F" w:rsidRPr="00E54543" w:rsidRDefault="003A6F6F" w:rsidP="00207FAE">
            <w:pPr>
              <w:widowControl w:val="0"/>
              <w:spacing w:before="20" w:after="20" w:line="240" w:lineRule="auto"/>
              <w:rPr>
                <w:sz w:val="18"/>
                <w:szCs w:val="18"/>
              </w:rPr>
            </w:pPr>
            <w:r>
              <w:rPr>
                <w:sz w:val="18"/>
                <w:szCs w:val="18"/>
              </w:rPr>
              <w:t>V</w:t>
            </w:r>
            <w:r w:rsidRPr="00E54543">
              <w:rPr>
                <w:sz w:val="18"/>
                <w:szCs w:val="18"/>
              </w:rPr>
              <w:t>CS.SC.M</w:t>
            </w:r>
          </w:p>
        </w:tc>
        <w:tc>
          <w:tcPr>
            <w:tcW w:w="625" w:type="pct"/>
          </w:tcPr>
          <w:p w14:paraId="1EFA17BC" w14:textId="77777777" w:rsidR="003A6F6F" w:rsidRPr="002870D0" w:rsidRDefault="003A6F6F" w:rsidP="00207FAE">
            <w:pPr>
              <w:widowControl w:val="0"/>
              <w:spacing w:before="20" w:after="20" w:line="240" w:lineRule="auto"/>
              <w:rPr>
                <w:sz w:val="18"/>
                <w:szCs w:val="18"/>
              </w:rPr>
            </w:pPr>
            <w:r w:rsidRPr="00224AE7">
              <w:rPr>
                <w:sz w:val="18"/>
                <w:szCs w:val="18"/>
              </w:rPr>
              <w:t>0.05 x V + 1.36</w:t>
            </w:r>
          </w:p>
        </w:tc>
      </w:tr>
      <w:tr w:rsidR="003A6F6F" w:rsidRPr="00986B41" w14:paraId="04A42DCD" w14:textId="77777777" w:rsidTr="00E54543">
        <w:trPr>
          <w:trHeight w:val="20"/>
        </w:trPr>
        <w:tc>
          <w:tcPr>
            <w:tcW w:w="673" w:type="pct"/>
            <w:vMerge/>
          </w:tcPr>
          <w:p w14:paraId="2BDE684A" w14:textId="77777777" w:rsidR="003A6F6F" w:rsidRPr="00E54543" w:rsidRDefault="003A6F6F" w:rsidP="00207FAE">
            <w:pPr>
              <w:widowControl w:val="0"/>
              <w:spacing w:before="20" w:after="20" w:line="240" w:lineRule="auto"/>
              <w:rPr>
                <w:sz w:val="18"/>
                <w:szCs w:val="18"/>
              </w:rPr>
            </w:pPr>
          </w:p>
        </w:tc>
        <w:tc>
          <w:tcPr>
            <w:tcW w:w="962" w:type="pct"/>
            <w:vMerge/>
          </w:tcPr>
          <w:p w14:paraId="0E539F40" w14:textId="77777777" w:rsidR="003A6F6F" w:rsidRPr="00E54543" w:rsidRDefault="003A6F6F" w:rsidP="00207FAE">
            <w:pPr>
              <w:widowControl w:val="0"/>
              <w:spacing w:before="20" w:after="20" w:line="240" w:lineRule="auto"/>
              <w:rPr>
                <w:sz w:val="18"/>
                <w:szCs w:val="18"/>
              </w:rPr>
            </w:pPr>
          </w:p>
        </w:tc>
        <w:tc>
          <w:tcPr>
            <w:tcW w:w="866" w:type="pct"/>
            <w:vMerge/>
          </w:tcPr>
          <w:p w14:paraId="39110EDA" w14:textId="77777777" w:rsidR="003A6F6F" w:rsidRPr="00E54543" w:rsidRDefault="003A6F6F" w:rsidP="00207FAE">
            <w:pPr>
              <w:widowControl w:val="0"/>
              <w:spacing w:before="20" w:after="20" w:line="240" w:lineRule="auto"/>
              <w:rPr>
                <w:sz w:val="18"/>
                <w:szCs w:val="18"/>
              </w:rPr>
            </w:pPr>
          </w:p>
        </w:tc>
        <w:tc>
          <w:tcPr>
            <w:tcW w:w="625" w:type="pct"/>
          </w:tcPr>
          <w:p w14:paraId="5E73884D" w14:textId="77777777" w:rsidR="003A6F6F" w:rsidRPr="00E54543" w:rsidRDefault="003A6F6F" w:rsidP="00207FAE">
            <w:pPr>
              <w:widowControl w:val="0"/>
              <w:spacing w:before="20" w:after="20" w:line="240" w:lineRule="auto"/>
              <w:jc w:val="center"/>
              <w:rPr>
                <w:sz w:val="18"/>
                <w:szCs w:val="18"/>
              </w:rPr>
            </w:pPr>
            <w:r w:rsidRPr="00E54543">
              <w:rPr>
                <w:sz w:val="18"/>
                <w:szCs w:val="18"/>
              </w:rPr>
              <w:t>0 (L)</w:t>
            </w:r>
          </w:p>
        </w:tc>
        <w:tc>
          <w:tcPr>
            <w:tcW w:w="577" w:type="pct"/>
          </w:tcPr>
          <w:p w14:paraId="1140DA47" w14:textId="77777777" w:rsidR="003A6F6F" w:rsidRPr="00E54543" w:rsidRDefault="003A6F6F" w:rsidP="00207FAE">
            <w:pPr>
              <w:widowControl w:val="0"/>
              <w:spacing w:before="20" w:after="20" w:line="240" w:lineRule="auto"/>
              <w:jc w:val="center"/>
              <w:rPr>
                <w:sz w:val="18"/>
                <w:szCs w:val="18"/>
              </w:rPr>
            </w:pPr>
            <w:r w:rsidRPr="00E54543">
              <w:rPr>
                <w:sz w:val="18"/>
                <w:szCs w:val="18"/>
              </w:rPr>
              <w:t>&lt;32</w:t>
            </w:r>
          </w:p>
        </w:tc>
        <w:tc>
          <w:tcPr>
            <w:tcW w:w="672" w:type="pct"/>
          </w:tcPr>
          <w:p w14:paraId="00028347" w14:textId="77777777" w:rsidR="003A6F6F" w:rsidRPr="00E54543" w:rsidRDefault="003A6F6F" w:rsidP="00207FAE">
            <w:pPr>
              <w:widowControl w:val="0"/>
              <w:spacing w:before="20" w:after="20" w:line="240" w:lineRule="auto"/>
              <w:rPr>
                <w:sz w:val="18"/>
                <w:szCs w:val="18"/>
              </w:rPr>
            </w:pPr>
            <w:r>
              <w:rPr>
                <w:sz w:val="18"/>
                <w:szCs w:val="18"/>
              </w:rPr>
              <w:t>V</w:t>
            </w:r>
            <w:r w:rsidRPr="00E54543">
              <w:rPr>
                <w:sz w:val="18"/>
                <w:szCs w:val="18"/>
              </w:rPr>
              <w:t>C</w:t>
            </w:r>
            <w:r>
              <w:rPr>
                <w:sz w:val="18"/>
                <w:szCs w:val="18"/>
              </w:rPr>
              <w:t>S</w:t>
            </w:r>
            <w:r w:rsidRPr="00E54543">
              <w:rPr>
                <w:sz w:val="18"/>
                <w:szCs w:val="18"/>
              </w:rPr>
              <w:t>.SC.L</w:t>
            </w:r>
          </w:p>
        </w:tc>
        <w:tc>
          <w:tcPr>
            <w:tcW w:w="625" w:type="pct"/>
          </w:tcPr>
          <w:p w14:paraId="7B72F815" w14:textId="77777777" w:rsidR="003A6F6F" w:rsidRPr="002870D0" w:rsidRDefault="003A6F6F" w:rsidP="00207FAE">
            <w:pPr>
              <w:widowControl w:val="0"/>
              <w:spacing w:before="20" w:after="20" w:line="240" w:lineRule="auto"/>
              <w:rPr>
                <w:sz w:val="18"/>
                <w:szCs w:val="18"/>
              </w:rPr>
            </w:pPr>
            <w:r w:rsidRPr="00007DE0">
              <w:rPr>
                <w:sz w:val="18"/>
                <w:szCs w:val="18"/>
              </w:rPr>
              <w:t>0.22 x V + 1.38</w:t>
            </w:r>
          </w:p>
        </w:tc>
      </w:tr>
      <w:tr w:rsidR="003A6F6F" w:rsidRPr="00986B41" w14:paraId="47DC2C1C" w14:textId="77777777" w:rsidTr="00E54543">
        <w:trPr>
          <w:trHeight w:val="20"/>
        </w:trPr>
        <w:tc>
          <w:tcPr>
            <w:tcW w:w="673" w:type="pct"/>
            <w:vMerge/>
          </w:tcPr>
          <w:p w14:paraId="5A2CAE3B" w14:textId="77777777" w:rsidR="003A6F6F" w:rsidRPr="00E54543" w:rsidRDefault="003A6F6F" w:rsidP="00CB304F">
            <w:pPr>
              <w:widowControl w:val="0"/>
              <w:spacing w:before="20" w:after="20" w:line="240" w:lineRule="auto"/>
              <w:rPr>
                <w:sz w:val="18"/>
                <w:szCs w:val="18"/>
              </w:rPr>
            </w:pPr>
          </w:p>
        </w:tc>
        <w:tc>
          <w:tcPr>
            <w:tcW w:w="962" w:type="pct"/>
            <w:vMerge/>
          </w:tcPr>
          <w:p w14:paraId="7F24FD99" w14:textId="77777777" w:rsidR="003A6F6F" w:rsidRPr="00E54543" w:rsidRDefault="003A6F6F" w:rsidP="00CB304F">
            <w:pPr>
              <w:widowControl w:val="0"/>
              <w:spacing w:before="20" w:after="20" w:line="240" w:lineRule="auto"/>
              <w:rPr>
                <w:sz w:val="18"/>
                <w:szCs w:val="18"/>
              </w:rPr>
            </w:pPr>
          </w:p>
        </w:tc>
        <w:tc>
          <w:tcPr>
            <w:tcW w:w="866" w:type="pct"/>
            <w:vMerge w:val="restart"/>
          </w:tcPr>
          <w:p w14:paraId="4921D390" w14:textId="3EB42BB2" w:rsidR="003A6F6F" w:rsidRPr="00E54543" w:rsidRDefault="003A6F6F" w:rsidP="00CB304F">
            <w:pPr>
              <w:widowControl w:val="0"/>
              <w:spacing w:before="20" w:after="20" w:line="240" w:lineRule="auto"/>
              <w:rPr>
                <w:sz w:val="18"/>
                <w:szCs w:val="18"/>
              </w:rPr>
            </w:pPr>
            <w:r w:rsidRPr="00E54543">
              <w:rPr>
                <w:sz w:val="18"/>
                <w:szCs w:val="18"/>
              </w:rPr>
              <w:t>Semi vertical Open (SVO)</w:t>
            </w:r>
          </w:p>
        </w:tc>
        <w:tc>
          <w:tcPr>
            <w:tcW w:w="625" w:type="pct"/>
          </w:tcPr>
          <w:p w14:paraId="31BE1441" w14:textId="0AF77180" w:rsidR="003A6F6F" w:rsidRPr="00E54543" w:rsidRDefault="003A6F6F" w:rsidP="00CB304F">
            <w:pPr>
              <w:widowControl w:val="0"/>
              <w:spacing w:before="20" w:after="20" w:line="240" w:lineRule="auto"/>
              <w:jc w:val="center"/>
              <w:rPr>
                <w:sz w:val="18"/>
                <w:szCs w:val="18"/>
              </w:rPr>
            </w:pPr>
            <w:r w:rsidRPr="00E54543">
              <w:rPr>
                <w:sz w:val="18"/>
                <w:szCs w:val="18"/>
              </w:rPr>
              <w:t>38 (M)</w:t>
            </w:r>
          </w:p>
        </w:tc>
        <w:tc>
          <w:tcPr>
            <w:tcW w:w="577" w:type="pct"/>
          </w:tcPr>
          <w:p w14:paraId="641BCC64" w14:textId="51C9FEEF" w:rsidR="003A6F6F" w:rsidRPr="00E54543" w:rsidRDefault="003A6F6F" w:rsidP="00CB304F">
            <w:pPr>
              <w:widowControl w:val="0"/>
              <w:spacing w:before="20" w:after="20" w:line="240" w:lineRule="auto"/>
              <w:jc w:val="center"/>
              <w:rPr>
                <w:sz w:val="18"/>
                <w:szCs w:val="18"/>
              </w:rPr>
            </w:pPr>
            <w:r w:rsidRPr="00E54543">
              <w:rPr>
                <w:sz w:val="18"/>
                <w:szCs w:val="18"/>
              </w:rPr>
              <w:t>≥32</w:t>
            </w:r>
          </w:p>
        </w:tc>
        <w:tc>
          <w:tcPr>
            <w:tcW w:w="672" w:type="pct"/>
          </w:tcPr>
          <w:p w14:paraId="197CFCCF" w14:textId="27823979" w:rsidR="003A6F6F" w:rsidRDefault="003A6F6F" w:rsidP="00CB304F">
            <w:pPr>
              <w:widowControl w:val="0"/>
              <w:spacing w:before="20" w:after="20" w:line="240" w:lineRule="auto"/>
              <w:rPr>
                <w:sz w:val="18"/>
                <w:szCs w:val="18"/>
              </w:rPr>
            </w:pPr>
            <w:r w:rsidRPr="00E54543">
              <w:rPr>
                <w:sz w:val="18"/>
                <w:szCs w:val="18"/>
              </w:rPr>
              <w:t>SVO.</w:t>
            </w:r>
            <w:r>
              <w:rPr>
                <w:sz w:val="18"/>
                <w:szCs w:val="18"/>
              </w:rPr>
              <w:t>SC</w:t>
            </w:r>
            <w:r w:rsidRPr="00E54543">
              <w:rPr>
                <w:sz w:val="18"/>
                <w:szCs w:val="18"/>
              </w:rPr>
              <w:t>.M</w:t>
            </w:r>
          </w:p>
        </w:tc>
        <w:tc>
          <w:tcPr>
            <w:tcW w:w="625" w:type="pct"/>
          </w:tcPr>
          <w:p w14:paraId="6AFB5AED" w14:textId="05387A0D" w:rsidR="003A6F6F" w:rsidRPr="00007DE0" w:rsidRDefault="00CE6E90" w:rsidP="00CB304F">
            <w:pPr>
              <w:widowControl w:val="0"/>
              <w:spacing w:before="20" w:after="20" w:line="240" w:lineRule="auto"/>
              <w:rPr>
                <w:sz w:val="18"/>
                <w:szCs w:val="18"/>
              </w:rPr>
            </w:pPr>
            <w:r w:rsidRPr="00CE6E90">
              <w:rPr>
                <w:sz w:val="18"/>
                <w:szCs w:val="18"/>
              </w:rPr>
              <w:t>1.7 x TDA + 4.59</w:t>
            </w:r>
          </w:p>
        </w:tc>
      </w:tr>
      <w:tr w:rsidR="003A6F6F" w:rsidRPr="00986B41" w14:paraId="2AEDEE6D" w14:textId="77777777" w:rsidTr="00E54543">
        <w:trPr>
          <w:trHeight w:val="20"/>
        </w:trPr>
        <w:tc>
          <w:tcPr>
            <w:tcW w:w="673" w:type="pct"/>
            <w:vMerge/>
          </w:tcPr>
          <w:p w14:paraId="1AA25DB5" w14:textId="77777777" w:rsidR="003A6F6F" w:rsidRPr="00E54543" w:rsidRDefault="003A6F6F" w:rsidP="00CB304F">
            <w:pPr>
              <w:widowControl w:val="0"/>
              <w:spacing w:before="20" w:after="20" w:line="240" w:lineRule="auto"/>
              <w:rPr>
                <w:sz w:val="18"/>
                <w:szCs w:val="18"/>
              </w:rPr>
            </w:pPr>
          </w:p>
        </w:tc>
        <w:tc>
          <w:tcPr>
            <w:tcW w:w="962" w:type="pct"/>
            <w:vMerge/>
          </w:tcPr>
          <w:p w14:paraId="61F1969C" w14:textId="77777777" w:rsidR="003A6F6F" w:rsidRPr="00E54543" w:rsidRDefault="003A6F6F" w:rsidP="00CB304F">
            <w:pPr>
              <w:widowControl w:val="0"/>
              <w:spacing w:before="20" w:after="20" w:line="240" w:lineRule="auto"/>
              <w:rPr>
                <w:sz w:val="18"/>
                <w:szCs w:val="18"/>
              </w:rPr>
            </w:pPr>
          </w:p>
        </w:tc>
        <w:tc>
          <w:tcPr>
            <w:tcW w:w="866" w:type="pct"/>
            <w:vMerge/>
          </w:tcPr>
          <w:p w14:paraId="0C2BBECF" w14:textId="77777777" w:rsidR="003A6F6F" w:rsidRPr="00E54543" w:rsidRDefault="003A6F6F" w:rsidP="00CB304F">
            <w:pPr>
              <w:widowControl w:val="0"/>
              <w:spacing w:before="20" w:after="20" w:line="240" w:lineRule="auto"/>
              <w:rPr>
                <w:sz w:val="18"/>
                <w:szCs w:val="18"/>
              </w:rPr>
            </w:pPr>
          </w:p>
        </w:tc>
        <w:tc>
          <w:tcPr>
            <w:tcW w:w="625" w:type="pct"/>
          </w:tcPr>
          <w:p w14:paraId="0543C067" w14:textId="3E7C4345" w:rsidR="003A6F6F" w:rsidRPr="00E54543" w:rsidRDefault="003A6F6F" w:rsidP="00CB304F">
            <w:pPr>
              <w:widowControl w:val="0"/>
              <w:spacing w:before="20" w:after="20" w:line="240" w:lineRule="auto"/>
              <w:jc w:val="center"/>
              <w:rPr>
                <w:sz w:val="18"/>
                <w:szCs w:val="18"/>
              </w:rPr>
            </w:pPr>
            <w:r>
              <w:rPr>
                <w:sz w:val="18"/>
                <w:szCs w:val="18"/>
              </w:rPr>
              <w:t>0 (L)</w:t>
            </w:r>
          </w:p>
        </w:tc>
        <w:tc>
          <w:tcPr>
            <w:tcW w:w="577" w:type="pct"/>
          </w:tcPr>
          <w:p w14:paraId="1338E18C" w14:textId="48D05228" w:rsidR="003A6F6F" w:rsidRPr="00E54543" w:rsidRDefault="003A6F6F" w:rsidP="00CB304F">
            <w:pPr>
              <w:widowControl w:val="0"/>
              <w:spacing w:before="20" w:after="20" w:line="240" w:lineRule="auto"/>
              <w:jc w:val="center"/>
              <w:rPr>
                <w:sz w:val="18"/>
                <w:szCs w:val="18"/>
              </w:rPr>
            </w:pPr>
            <w:r w:rsidRPr="00E54543">
              <w:rPr>
                <w:sz w:val="18"/>
                <w:szCs w:val="18"/>
              </w:rPr>
              <w:t>&lt;32</w:t>
            </w:r>
          </w:p>
        </w:tc>
        <w:tc>
          <w:tcPr>
            <w:tcW w:w="672" w:type="pct"/>
          </w:tcPr>
          <w:p w14:paraId="08317F32" w14:textId="77444F2F" w:rsidR="003A6F6F" w:rsidRPr="00E54543" w:rsidRDefault="003A6F6F" w:rsidP="00CB304F">
            <w:pPr>
              <w:widowControl w:val="0"/>
              <w:spacing w:before="20" w:after="20" w:line="240" w:lineRule="auto"/>
              <w:rPr>
                <w:sz w:val="18"/>
                <w:szCs w:val="18"/>
              </w:rPr>
            </w:pPr>
            <w:r>
              <w:rPr>
                <w:sz w:val="18"/>
                <w:szCs w:val="18"/>
              </w:rPr>
              <w:t>S</w:t>
            </w:r>
            <w:r w:rsidR="00CE6E90">
              <w:rPr>
                <w:sz w:val="18"/>
                <w:szCs w:val="18"/>
              </w:rPr>
              <w:t>VO.SC.L</w:t>
            </w:r>
          </w:p>
        </w:tc>
        <w:tc>
          <w:tcPr>
            <w:tcW w:w="625" w:type="pct"/>
          </w:tcPr>
          <w:p w14:paraId="6DE951A4" w14:textId="4164C97A" w:rsidR="003A6F6F" w:rsidRPr="00007DE0" w:rsidRDefault="00CE6E90" w:rsidP="00CB304F">
            <w:pPr>
              <w:widowControl w:val="0"/>
              <w:spacing w:before="20" w:after="20" w:line="240" w:lineRule="auto"/>
              <w:rPr>
                <w:sz w:val="18"/>
                <w:szCs w:val="18"/>
              </w:rPr>
            </w:pPr>
            <w:r w:rsidRPr="00CE6E90">
              <w:rPr>
                <w:sz w:val="18"/>
                <w:szCs w:val="18"/>
              </w:rPr>
              <w:t>4.26 x TDA + 11.51</w:t>
            </w:r>
          </w:p>
        </w:tc>
      </w:tr>
      <w:tr w:rsidR="00CB304F" w:rsidRPr="00986B41" w14:paraId="40E2BF2B" w14:textId="77777777" w:rsidTr="00E54543">
        <w:trPr>
          <w:trHeight w:val="20"/>
        </w:trPr>
        <w:tc>
          <w:tcPr>
            <w:tcW w:w="673" w:type="pct"/>
            <w:vMerge/>
          </w:tcPr>
          <w:p w14:paraId="109F70BF" w14:textId="77777777" w:rsidR="00CB304F" w:rsidRPr="00E54543" w:rsidRDefault="00CB304F" w:rsidP="00CB304F">
            <w:pPr>
              <w:widowControl w:val="0"/>
              <w:spacing w:before="20" w:after="20" w:line="240" w:lineRule="auto"/>
              <w:rPr>
                <w:sz w:val="18"/>
                <w:szCs w:val="18"/>
              </w:rPr>
            </w:pPr>
          </w:p>
        </w:tc>
        <w:tc>
          <w:tcPr>
            <w:tcW w:w="962" w:type="pct"/>
          </w:tcPr>
          <w:p w14:paraId="4FB50A34" w14:textId="77777777" w:rsidR="00CB304F" w:rsidRPr="00E54543" w:rsidRDefault="00CB304F" w:rsidP="00CB304F">
            <w:pPr>
              <w:widowControl w:val="0"/>
              <w:spacing w:before="20" w:after="20" w:line="240" w:lineRule="auto"/>
              <w:rPr>
                <w:sz w:val="18"/>
                <w:szCs w:val="18"/>
              </w:rPr>
            </w:pPr>
            <w:r w:rsidRPr="00E54543">
              <w:rPr>
                <w:sz w:val="18"/>
                <w:szCs w:val="18"/>
              </w:rPr>
              <w:t>Commercial Ice-Cream Freezers</w:t>
            </w:r>
          </w:p>
        </w:tc>
        <w:tc>
          <w:tcPr>
            <w:tcW w:w="866" w:type="pct"/>
          </w:tcPr>
          <w:p w14:paraId="6F555D48" w14:textId="77777777" w:rsidR="00CB304F" w:rsidRPr="00E54543" w:rsidRDefault="00CB304F" w:rsidP="00CB304F">
            <w:pPr>
              <w:widowControl w:val="0"/>
              <w:spacing w:before="20" w:after="20" w:line="240" w:lineRule="auto"/>
              <w:rPr>
                <w:sz w:val="18"/>
                <w:szCs w:val="18"/>
              </w:rPr>
            </w:pPr>
            <w:r w:rsidRPr="00E54543">
              <w:rPr>
                <w:sz w:val="18"/>
                <w:szCs w:val="18"/>
              </w:rPr>
              <w:t>Horizontal Closed Transparent (HCT)</w:t>
            </w:r>
          </w:p>
        </w:tc>
        <w:tc>
          <w:tcPr>
            <w:tcW w:w="625" w:type="pct"/>
          </w:tcPr>
          <w:p w14:paraId="38E87EAE" w14:textId="77777777" w:rsidR="00CB304F" w:rsidRPr="00E54543" w:rsidRDefault="00CB304F" w:rsidP="00CB304F">
            <w:pPr>
              <w:widowControl w:val="0"/>
              <w:spacing w:before="20" w:after="20" w:line="240" w:lineRule="auto"/>
              <w:jc w:val="center"/>
              <w:rPr>
                <w:sz w:val="18"/>
                <w:szCs w:val="18"/>
              </w:rPr>
            </w:pPr>
            <w:r w:rsidRPr="00E54543">
              <w:rPr>
                <w:sz w:val="18"/>
                <w:szCs w:val="18"/>
              </w:rPr>
              <w:t>−15 (I)</w:t>
            </w:r>
          </w:p>
        </w:tc>
        <w:tc>
          <w:tcPr>
            <w:tcW w:w="577" w:type="pct"/>
          </w:tcPr>
          <w:p w14:paraId="4A50A5DD" w14:textId="77777777" w:rsidR="00CB304F" w:rsidRPr="00E54543" w:rsidRDefault="00CB304F" w:rsidP="00CB304F">
            <w:pPr>
              <w:widowControl w:val="0"/>
              <w:spacing w:before="20" w:after="20" w:line="240" w:lineRule="auto"/>
              <w:jc w:val="center"/>
              <w:rPr>
                <w:sz w:val="18"/>
                <w:szCs w:val="18"/>
              </w:rPr>
            </w:pPr>
            <w:r w:rsidRPr="00E54543">
              <w:rPr>
                <w:sz w:val="18"/>
                <w:szCs w:val="18"/>
              </w:rPr>
              <w:t>≤−5</w:t>
            </w:r>
          </w:p>
        </w:tc>
        <w:tc>
          <w:tcPr>
            <w:tcW w:w="672" w:type="pct"/>
          </w:tcPr>
          <w:p w14:paraId="12F7E229" w14:textId="77777777" w:rsidR="00CB304F" w:rsidRPr="00E54543" w:rsidRDefault="00CB304F" w:rsidP="00CB304F">
            <w:pPr>
              <w:widowControl w:val="0"/>
              <w:spacing w:before="20" w:after="20" w:line="240" w:lineRule="auto"/>
              <w:rPr>
                <w:sz w:val="18"/>
                <w:szCs w:val="18"/>
              </w:rPr>
            </w:pPr>
            <w:r w:rsidRPr="00E54543">
              <w:rPr>
                <w:sz w:val="18"/>
                <w:szCs w:val="18"/>
              </w:rPr>
              <w:t>HCT.SC.I</w:t>
            </w:r>
          </w:p>
        </w:tc>
        <w:tc>
          <w:tcPr>
            <w:tcW w:w="625" w:type="pct"/>
          </w:tcPr>
          <w:p w14:paraId="4AABEE53" w14:textId="77777777" w:rsidR="00CB304F" w:rsidRPr="00E54543" w:rsidRDefault="00CB304F" w:rsidP="00CB304F">
            <w:pPr>
              <w:widowControl w:val="0"/>
              <w:spacing w:before="20" w:after="20" w:line="240" w:lineRule="auto"/>
              <w:rPr>
                <w:sz w:val="18"/>
                <w:szCs w:val="18"/>
              </w:rPr>
            </w:pPr>
            <w:r w:rsidRPr="00E54543">
              <w:rPr>
                <w:sz w:val="18"/>
                <w:szCs w:val="18"/>
              </w:rPr>
              <w:t>0.56 × TDA + 0.43.</w:t>
            </w:r>
          </w:p>
        </w:tc>
      </w:tr>
      <w:tr w:rsidR="009453FA" w:rsidRPr="00986B41" w14:paraId="5F5DB181" w14:textId="77777777" w:rsidTr="00E54543">
        <w:trPr>
          <w:trHeight w:val="20"/>
        </w:trPr>
        <w:tc>
          <w:tcPr>
            <w:tcW w:w="673" w:type="pct"/>
            <w:vMerge/>
          </w:tcPr>
          <w:p w14:paraId="23869DA3" w14:textId="77777777" w:rsidR="009453FA" w:rsidRPr="00E54543" w:rsidRDefault="009453FA" w:rsidP="009453FA">
            <w:pPr>
              <w:widowControl w:val="0"/>
              <w:spacing w:before="20" w:after="20" w:line="240" w:lineRule="auto"/>
              <w:rPr>
                <w:sz w:val="18"/>
                <w:szCs w:val="18"/>
              </w:rPr>
            </w:pPr>
          </w:p>
        </w:tc>
        <w:tc>
          <w:tcPr>
            <w:tcW w:w="962" w:type="pct"/>
            <w:vMerge w:val="restart"/>
          </w:tcPr>
          <w:p w14:paraId="7E5A2A49" w14:textId="5C232A78" w:rsidR="009453FA" w:rsidRPr="00E54543" w:rsidRDefault="009453FA" w:rsidP="009453FA">
            <w:pPr>
              <w:widowControl w:val="0"/>
              <w:spacing w:before="20" w:after="20" w:line="240" w:lineRule="auto"/>
              <w:rPr>
                <w:sz w:val="18"/>
                <w:szCs w:val="18"/>
              </w:rPr>
            </w:pPr>
            <w:r w:rsidRPr="00E54543">
              <w:rPr>
                <w:sz w:val="18"/>
                <w:szCs w:val="18"/>
              </w:rPr>
              <w:t>Self-Contained Commercial Refrigerators and Commercial Freezers With</w:t>
            </w:r>
            <w:r>
              <w:rPr>
                <w:sz w:val="18"/>
                <w:szCs w:val="18"/>
              </w:rPr>
              <w:t>out</w:t>
            </w:r>
            <w:r w:rsidRPr="00E54543">
              <w:rPr>
                <w:sz w:val="18"/>
                <w:szCs w:val="18"/>
              </w:rPr>
              <w:t xml:space="preserve"> Doors</w:t>
            </w:r>
          </w:p>
        </w:tc>
        <w:tc>
          <w:tcPr>
            <w:tcW w:w="866" w:type="pct"/>
            <w:vMerge w:val="restart"/>
          </w:tcPr>
          <w:p w14:paraId="64153BF0" w14:textId="4AC9638B" w:rsidR="009453FA" w:rsidRPr="00E54543" w:rsidRDefault="009453FA" w:rsidP="009453FA">
            <w:pPr>
              <w:widowControl w:val="0"/>
              <w:spacing w:before="20" w:after="20" w:line="240" w:lineRule="auto"/>
              <w:rPr>
                <w:sz w:val="18"/>
                <w:szCs w:val="18"/>
              </w:rPr>
            </w:pPr>
            <w:r w:rsidRPr="00E54543">
              <w:rPr>
                <w:sz w:val="18"/>
                <w:szCs w:val="18"/>
              </w:rPr>
              <w:t>Vertical Open (VOP)</w:t>
            </w:r>
          </w:p>
        </w:tc>
        <w:tc>
          <w:tcPr>
            <w:tcW w:w="625" w:type="pct"/>
          </w:tcPr>
          <w:p w14:paraId="1DA94520" w14:textId="0161A4CA" w:rsidR="009453FA" w:rsidRPr="00E54543" w:rsidRDefault="009453FA" w:rsidP="009453FA">
            <w:pPr>
              <w:widowControl w:val="0"/>
              <w:spacing w:before="20" w:after="20" w:line="240" w:lineRule="auto"/>
              <w:jc w:val="center"/>
              <w:rPr>
                <w:sz w:val="18"/>
                <w:szCs w:val="18"/>
              </w:rPr>
            </w:pPr>
            <w:r>
              <w:rPr>
                <w:sz w:val="18"/>
                <w:szCs w:val="18"/>
              </w:rPr>
              <w:t>38 (M)</w:t>
            </w:r>
          </w:p>
        </w:tc>
        <w:tc>
          <w:tcPr>
            <w:tcW w:w="577" w:type="pct"/>
          </w:tcPr>
          <w:p w14:paraId="01CD956D" w14:textId="365F2E52" w:rsidR="009453FA" w:rsidRPr="00E54543" w:rsidRDefault="009453FA" w:rsidP="009453FA">
            <w:pPr>
              <w:widowControl w:val="0"/>
              <w:spacing w:before="20" w:after="20" w:line="240" w:lineRule="auto"/>
              <w:jc w:val="center"/>
              <w:rPr>
                <w:sz w:val="18"/>
                <w:szCs w:val="18"/>
              </w:rPr>
            </w:pPr>
            <w:r w:rsidRPr="00E54543">
              <w:rPr>
                <w:sz w:val="18"/>
                <w:szCs w:val="18"/>
              </w:rPr>
              <w:t>≥32</w:t>
            </w:r>
          </w:p>
        </w:tc>
        <w:tc>
          <w:tcPr>
            <w:tcW w:w="672" w:type="pct"/>
          </w:tcPr>
          <w:p w14:paraId="46EA1DEF" w14:textId="5DB6613C" w:rsidR="009453FA" w:rsidRPr="00E54543" w:rsidRDefault="009453FA" w:rsidP="009453FA">
            <w:pPr>
              <w:widowControl w:val="0"/>
              <w:spacing w:before="20" w:after="20" w:line="240" w:lineRule="auto"/>
              <w:rPr>
                <w:sz w:val="18"/>
                <w:szCs w:val="18"/>
              </w:rPr>
            </w:pPr>
            <w:r>
              <w:rPr>
                <w:sz w:val="18"/>
                <w:szCs w:val="18"/>
              </w:rPr>
              <w:t>VOP.SC.M</w:t>
            </w:r>
          </w:p>
        </w:tc>
        <w:tc>
          <w:tcPr>
            <w:tcW w:w="625" w:type="pct"/>
          </w:tcPr>
          <w:p w14:paraId="1E8B4188" w14:textId="527E4F72" w:rsidR="009453FA" w:rsidRPr="00E54543" w:rsidRDefault="00B659D1" w:rsidP="009453FA">
            <w:pPr>
              <w:widowControl w:val="0"/>
              <w:spacing w:before="20" w:after="20" w:line="240" w:lineRule="auto"/>
              <w:rPr>
                <w:sz w:val="18"/>
                <w:szCs w:val="18"/>
              </w:rPr>
            </w:pPr>
            <w:r w:rsidRPr="00B659D1">
              <w:rPr>
                <w:sz w:val="18"/>
                <w:szCs w:val="18"/>
              </w:rPr>
              <w:t>1.69 x TDA + 4.71</w:t>
            </w:r>
          </w:p>
        </w:tc>
      </w:tr>
      <w:tr w:rsidR="009453FA" w:rsidRPr="00986B41" w14:paraId="7EA56892" w14:textId="77777777" w:rsidTr="00E54543">
        <w:trPr>
          <w:trHeight w:val="20"/>
        </w:trPr>
        <w:tc>
          <w:tcPr>
            <w:tcW w:w="673" w:type="pct"/>
            <w:vMerge/>
          </w:tcPr>
          <w:p w14:paraId="131242E0" w14:textId="77777777" w:rsidR="009453FA" w:rsidRPr="00E54543" w:rsidRDefault="009453FA" w:rsidP="009453FA">
            <w:pPr>
              <w:widowControl w:val="0"/>
              <w:spacing w:before="20" w:after="20" w:line="240" w:lineRule="auto"/>
              <w:rPr>
                <w:sz w:val="18"/>
                <w:szCs w:val="18"/>
              </w:rPr>
            </w:pPr>
          </w:p>
        </w:tc>
        <w:tc>
          <w:tcPr>
            <w:tcW w:w="962" w:type="pct"/>
            <w:vMerge/>
          </w:tcPr>
          <w:p w14:paraId="3E9C4CF0" w14:textId="52B930F4" w:rsidR="009453FA" w:rsidRPr="00E54543" w:rsidRDefault="009453FA" w:rsidP="009453FA">
            <w:pPr>
              <w:widowControl w:val="0"/>
              <w:spacing w:before="20" w:after="20" w:line="240" w:lineRule="auto"/>
              <w:rPr>
                <w:sz w:val="18"/>
                <w:szCs w:val="18"/>
              </w:rPr>
            </w:pPr>
          </w:p>
        </w:tc>
        <w:tc>
          <w:tcPr>
            <w:tcW w:w="866" w:type="pct"/>
            <w:vMerge/>
          </w:tcPr>
          <w:p w14:paraId="0D406A8F" w14:textId="77777777" w:rsidR="009453FA" w:rsidRPr="00E54543" w:rsidRDefault="009453FA" w:rsidP="009453FA">
            <w:pPr>
              <w:widowControl w:val="0"/>
              <w:spacing w:before="20" w:after="20" w:line="240" w:lineRule="auto"/>
              <w:rPr>
                <w:sz w:val="18"/>
                <w:szCs w:val="18"/>
              </w:rPr>
            </w:pPr>
          </w:p>
        </w:tc>
        <w:tc>
          <w:tcPr>
            <w:tcW w:w="625" w:type="pct"/>
          </w:tcPr>
          <w:p w14:paraId="7B449B7B" w14:textId="17CF42B7" w:rsidR="009453FA" w:rsidRPr="00E54543" w:rsidRDefault="009453FA" w:rsidP="009453FA">
            <w:pPr>
              <w:widowControl w:val="0"/>
              <w:spacing w:before="20" w:after="20" w:line="240" w:lineRule="auto"/>
              <w:jc w:val="center"/>
              <w:rPr>
                <w:sz w:val="18"/>
                <w:szCs w:val="18"/>
              </w:rPr>
            </w:pPr>
            <w:r>
              <w:rPr>
                <w:sz w:val="18"/>
                <w:szCs w:val="18"/>
              </w:rPr>
              <w:t>0 (L)</w:t>
            </w:r>
          </w:p>
        </w:tc>
        <w:tc>
          <w:tcPr>
            <w:tcW w:w="577" w:type="pct"/>
          </w:tcPr>
          <w:p w14:paraId="120DABFB" w14:textId="7C80C445" w:rsidR="009453FA" w:rsidRPr="00E54543" w:rsidRDefault="009453FA" w:rsidP="009453FA">
            <w:pPr>
              <w:widowControl w:val="0"/>
              <w:spacing w:before="20" w:after="20" w:line="240" w:lineRule="auto"/>
              <w:jc w:val="center"/>
              <w:rPr>
                <w:sz w:val="18"/>
                <w:szCs w:val="18"/>
              </w:rPr>
            </w:pPr>
            <w:r w:rsidRPr="00E54543">
              <w:rPr>
                <w:sz w:val="18"/>
                <w:szCs w:val="18"/>
              </w:rPr>
              <w:t>&lt;32</w:t>
            </w:r>
          </w:p>
        </w:tc>
        <w:tc>
          <w:tcPr>
            <w:tcW w:w="672" w:type="pct"/>
          </w:tcPr>
          <w:p w14:paraId="318B7E0C" w14:textId="6CA3227D" w:rsidR="009453FA" w:rsidRPr="00E54543" w:rsidRDefault="009453FA" w:rsidP="009453FA">
            <w:pPr>
              <w:widowControl w:val="0"/>
              <w:spacing w:before="20" w:after="20" w:line="240" w:lineRule="auto"/>
              <w:rPr>
                <w:sz w:val="18"/>
                <w:szCs w:val="18"/>
              </w:rPr>
            </w:pPr>
            <w:r>
              <w:rPr>
                <w:sz w:val="18"/>
                <w:szCs w:val="18"/>
              </w:rPr>
              <w:t>VOP.SC.L</w:t>
            </w:r>
          </w:p>
        </w:tc>
        <w:tc>
          <w:tcPr>
            <w:tcW w:w="625" w:type="pct"/>
          </w:tcPr>
          <w:p w14:paraId="4F6F5F3C" w14:textId="635CB25A" w:rsidR="009453FA" w:rsidRPr="00E54543" w:rsidRDefault="00B659D1" w:rsidP="009453FA">
            <w:pPr>
              <w:widowControl w:val="0"/>
              <w:spacing w:before="20" w:after="20" w:line="240" w:lineRule="auto"/>
              <w:rPr>
                <w:sz w:val="18"/>
                <w:szCs w:val="18"/>
              </w:rPr>
            </w:pPr>
            <w:r w:rsidRPr="00B659D1">
              <w:rPr>
                <w:sz w:val="18"/>
                <w:szCs w:val="18"/>
              </w:rPr>
              <w:t>4.25 x TDA + 11.82</w:t>
            </w:r>
          </w:p>
        </w:tc>
      </w:tr>
    </w:tbl>
    <w:p w14:paraId="293FEA64" w14:textId="77777777" w:rsidR="007D230B" w:rsidRPr="00171BB8" w:rsidRDefault="007D230B" w:rsidP="00A01960">
      <w:pPr>
        <w:pStyle w:val="eTRMHeading3"/>
      </w:pPr>
      <w:bookmarkStart w:id="18" w:name="_Toc486490851"/>
      <w:bookmarkStart w:id="19" w:name="_Toc486580922"/>
      <w:bookmarkStart w:id="20" w:name="_Toc56591403"/>
      <w:r w:rsidRPr="00A83458">
        <w:t>Normalizing</w:t>
      </w:r>
      <w:r w:rsidRPr="00171BB8">
        <w:t xml:space="preserve"> Unit</w:t>
      </w:r>
      <w:bookmarkEnd w:id="18"/>
      <w:bookmarkEnd w:id="19"/>
      <w:bookmarkEnd w:id="20"/>
    </w:p>
    <w:p w14:paraId="140FB6C1" w14:textId="77777777" w:rsidR="007D230B" w:rsidRDefault="007A32F3" w:rsidP="00660D77">
      <w:pPr>
        <w:tabs>
          <w:tab w:val="left" w:pos="3333"/>
        </w:tabs>
      </w:pPr>
      <w:r>
        <w:t xml:space="preserve">Each </w:t>
      </w:r>
    </w:p>
    <w:p w14:paraId="39E2B4F9" w14:textId="77777777" w:rsidR="00660D77" w:rsidRPr="007D230B" w:rsidRDefault="00660D77" w:rsidP="00660D77">
      <w:pPr>
        <w:tabs>
          <w:tab w:val="left" w:pos="3333"/>
        </w:tabs>
      </w:pPr>
    </w:p>
    <w:p w14:paraId="49458A66" w14:textId="77777777" w:rsidR="007D230B" w:rsidRDefault="007D230B" w:rsidP="00A01960">
      <w:pPr>
        <w:pStyle w:val="eTRMHeading3"/>
      </w:pPr>
      <w:bookmarkStart w:id="21" w:name="_Toc486490852"/>
      <w:bookmarkStart w:id="22" w:name="_Toc486580923"/>
      <w:bookmarkStart w:id="23" w:name="_Toc56591404"/>
      <w:r w:rsidRPr="004B06E3">
        <w:t>Program Requirements</w:t>
      </w:r>
      <w:bookmarkEnd w:id="21"/>
      <w:bookmarkEnd w:id="22"/>
      <w:bookmarkEnd w:id="23"/>
      <w:r w:rsidRPr="004B06E3">
        <w:t xml:space="preserve"> </w:t>
      </w:r>
    </w:p>
    <w:p w14:paraId="0BDB5202" w14:textId="77777777" w:rsidR="00493B21" w:rsidRPr="000229F1" w:rsidRDefault="00493B21" w:rsidP="00493B21">
      <w:pPr>
        <w:pStyle w:val="eTRMHeading5"/>
      </w:pPr>
      <w:r>
        <w:t xml:space="preserve">Measure </w:t>
      </w:r>
      <w:r w:rsidRPr="000229F1">
        <w:t>Implementation Eligibility</w:t>
      </w:r>
    </w:p>
    <w:p w14:paraId="77E5E03A" w14:textId="77777777" w:rsidR="00493B21" w:rsidRDefault="00493B21" w:rsidP="00493B21">
      <w:bookmarkStart w:id="24" w:name="_Hlk527543844"/>
      <w:bookmarkStart w:id="25"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4"/>
    </w:p>
    <w:bookmarkEnd w:id="25"/>
    <w:p w14:paraId="48D8188A" w14:textId="77777777" w:rsidR="00493B21" w:rsidRPr="00CC4643" w:rsidRDefault="00493B21" w:rsidP="00493B21">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5324F8F" w14:textId="77777777" w:rsidR="00493B21" w:rsidRDefault="00493B21" w:rsidP="00493B21">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493B21" w14:paraId="6C66B4BB" w14:textId="77777777" w:rsidTr="006E6781">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622EA3B" w14:textId="77777777" w:rsidR="00493B21" w:rsidRPr="00830614" w:rsidRDefault="00493B21" w:rsidP="006E6781">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5480A5A2" w14:textId="77777777" w:rsidR="00493B21" w:rsidRPr="00830614" w:rsidRDefault="00493B21" w:rsidP="006E6781">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65F2DA3" w14:textId="77777777" w:rsidR="00493B21" w:rsidRPr="00830614" w:rsidRDefault="00493B21" w:rsidP="006E6781">
            <w:pPr>
              <w:spacing w:before="0" w:after="0" w:line="240" w:lineRule="exact"/>
              <w:rPr>
                <w:b/>
                <w:bCs/>
                <w:sz w:val="20"/>
                <w:szCs w:val="20"/>
              </w:rPr>
            </w:pPr>
            <w:r w:rsidRPr="00830614">
              <w:rPr>
                <w:b/>
                <w:bCs/>
                <w:sz w:val="20"/>
                <w:szCs w:val="20"/>
              </w:rPr>
              <w:t>Sector</w:t>
            </w:r>
          </w:p>
        </w:tc>
      </w:tr>
      <w:tr w:rsidR="00493B21" w14:paraId="4537A1C0"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B306711"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EEB7D7"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0F8394" w14:textId="372D0D5E" w:rsidR="00493B21" w:rsidRPr="00830614" w:rsidRDefault="00493B21" w:rsidP="006E6781">
            <w:pPr>
              <w:spacing w:before="0" w:after="0" w:line="240" w:lineRule="exact"/>
              <w:rPr>
                <w:color w:val="000000"/>
                <w:sz w:val="20"/>
                <w:szCs w:val="20"/>
              </w:rPr>
            </w:pPr>
            <w:r>
              <w:rPr>
                <w:rFonts w:cs="Calibri Light"/>
                <w:color w:val="000000"/>
                <w:sz w:val="20"/>
                <w:szCs w:val="20"/>
              </w:rPr>
              <w:t>Com</w:t>
            </w:r>
          </w:p>
        </w:tc>
      </w:tr>
      <w:tr w:rsidR="00493B21" w14:paraId="42D094BE"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452C8E"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CAE2FB"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C729526" w14:textId="5666AD55" w:rsidR="00493B21" w:rsidRPr="00830614" w:rsidRDefault="00493B21" w:rsidP="006E6781">
            <w:pPr>
              <w:spacing w:before="0" w:after="0" w:line="240" w:lineRule="exact"/>
              <w:rPr>
                <w:color w:val="000000"/>
                <w:sz w:val="20"/>
                <w:szCs w:val="20"/>
              </w:rPr>
            </w:pPr>
            <w:r>
              <w:rPr>
                <w:rFonts w:cs="Calibri Light"/>
                <w:color w:val="000000"/>
                <w:sz w:val="20"/>
                <w:szCs w:val="20"/>
              </w:rPr>
              <w:t>Com</w:t>
            </w:r>
          </w:p>
        </w:tc>
      </w:tr>
      <w:tr w:rsidR="00493B21" w14:paraId="3EDB45C5"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E710DE"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97EF84D"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7089225" w14:textId="3C147C15" w:rsidR="00493B21" w:rsidRPr="00830614" w:rsidRDefault="00493B21" w:rsidP="006E6781">
            <w:pPr>
              <w:spacing w:before="0" w:after="0" w:line="240" w:lineRule="exact"/>
              <w:rPr>
                <w:color w:val="000000"/>
                <w:sz w:val="20"/>
                <w:szCs w:val="20"/>
              </w:rPr>
            </w:pPr>
            <w:r w:rsidRPr="00830614">
              <w:rPr>
                <w:rFonts w:cs="Calibri Light"/>
                <w:color w:val="000000"/>
                <w:sz w:val="20"/>
                <w:szCs w:val="20"/>
              </w:rPr>
              <w:t>Com</w:t>
            </w:r>
          </w:p>
        </w:tc>
      </w:tr>
      <w:tr w:rsidR="00D279E3" w14:paraId="0B6605B8"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06B6A3" w14:textId="7A35B04A"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997BAE" w14:textId="78B90968"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22AB4C8" w14:textId="0A2A2EBF"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Ag</w:t>
            </w:r>
          </w:p>
        </w:tc>
      </w:tr>
      <w:tr w:rsidR="00D279E3" w14:paraId="2B10383E"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F62BFF" w14:textId="6DAAC4CD"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602D2C4" w14:textId="4B4CED93"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5C9014" w14:textId="0ABD4519"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Ag</w:t>
            </w:r>
          </w:p>
        </w:tc>
      </w:tr>
      <w:tr w:rsidR="00D279E3" w14:paraId="3CD9AB47"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84A685C" w14:textId="6142F90A"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924FFD" w14:textId="6158F043"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36A17" w14:textId="085CE210"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Ag</w:t>
            </w:r>
          </w:p>
        </w:tc>
      </w:tr>
      <w:tr w:rsidR="00D279E3" w14:paraId="5FB27787"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C1BBCE9" w14:textId="4F99D5D4"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2B2B02" w14:textId="5BAD07B9"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1DC8F0" w14:textId="4C040330"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Ind</w:t>
            </w:r>
          </w:p>
        </w:tc>
      </w:tr>
      <w:tr w:rsidR="00D279E3" w14:paraId="578A1B08"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CA055CD" w14:textId="180E18A7"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08788F" w14:textId="6FD48D57"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605CCAE" w14:textId="54B33A01"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Ind</w:t>
            </w:r>
          </w:p>
        </w:tc>
      </w:tr>
      <w:tr w:rsidR="00D279E3" w14:paraId="3BE02613"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3BEA6E" w14:textId="483F382B" w:rsidR="00D279E3" w:rsidRDefault="00D279E3" w:rsidP="00D279E3">
            <w:pPr>
              <w:spacing w:before="0" w:after="0" w:line="240" w:lineRule="exact"/>
              <w:rPr>
                <w:rFonts w:cs="Calibri Light"/>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D9D66B6" w14:textId="3C5AA350" w:rsidR="00D279E3" w:rsidRDefault="00D279E3" w:rsidP="00D279E3">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7A2B68" w14:textId="2C91489A" w:rsidR="00D279E3" w:rsidRPr="00830614" w:rsidRDefault="00D279E3" w:rsidP="00D279E3">
            <w:pPr>
              <w:spacing w:before="0" w:after="0" w:line="240" w:lineRule="exact"/>
              <w:rPr>
                <w:rFonts w:cs="Calibri Light"/>
                <w:color w:val="000000"/>
                <w:sz w:val="20"/>
                <w:szCs w:val="20"/>
              </w:rPr>
            </w:pPr>
            <w:r>
              <w:rPr>
                <w:rFonts w:cs="Calibri Light"/>
                <w:color w:val="000000"/>
                <w:sz w:val="20"/>
                <w:szCs w:val="20"/>
              </w:rPr>
              <w:t>Ind</w:t>
            </w:r>
          </w:p>
        </w:tc>
      </w:tr>
      <w:tr w:rsidR="00A06951" w14:paraId="0E0E2314"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2A2270F" w14:textId="1CE7B31B" w:rsidR="00A06951" w:rsidRDefault="00A06951" w:rsidP="00A06951">
            <w:pPr>
              <w:spacing w:before="0" w:after="0" w:line="240" w:lineRule="exact"/>
              <w:rPr>
                <w:rFonts w:cs="Calibri Light"/>
                <w:color w:val="000000"/>
                <w:sz w:val="20"/>
                <w:szCs w:val="20"/>
              </w:rPr>
            </w:pPr>
            <w:r>
              <w:rPr>
                <w:rFonts w:cs="Calibri Light"/>
                <w:color w:val="000000"/>
                <w:sz w:val="20"/>
                <w:szCs w:val="20"/>
              </w:rPr>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C14857" w14:textId="60C9708B"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00D592" w14:textId="2AEF79D6" w:rsidR="00A06951" w:rsidRDefault="00A06951" w:rsidP="00A06951">
            <w:pPr>
              <w:spacing w:before="0" w:after="0" w:line="240" w:lineRule="exact"/>
              <w:rPr>
                <w:rFonts w:cs="Calibri Light"/>
                <w:color w:val="000000"/>
                <w:sz w:val="20"/>
                <w:szCs w:val="20"/>
              </w:rPr>
            </w:pPr>
            <w:r>
              <w:rPr>
                <w:rFonts w:cs="Calibri Light"/>
                <w:color w:val="000000"/>
                <w:sz w:val="20"/>
                <w:szCs w:val="20"/>
              </w:rPr>
              <w:t>Com</w:t>
            </w:r>
          </w:p>
        </w:tc>
      </w:tr>
      <w:tr w:rsidR="00A06951" w14:paraId="3C858A10"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F6462FF" w14:textId="4E3614EA"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936BB55" w14:textId="6B86EA45"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3BD9EE5" w14:textId="31D63DB2" w:rsidR="00A06951" w:rsidRDefault="00A06951" w:rsidP="00A06951">
            <w:pPr>
              <w:spacing w:before="0" w:after="0" w:line="240" w:lineRule="exact"/>
              <w:rPr>
                <w:rFonts w:cs="Calibri Light"/>
                <w:color w:val="000000"/>
                <w:sz w:val="20"/>
                <w:szCs w:val="20"/>
              </w:rPr>
            </w:pPr>
            <w:r>
              <w:rPr>
                <w:rFonts w:cs="Calibri Light"/>
                <w:color w:val="000000"/>
                <w:sz w:val="20"/>
                <w:szCs w:val="20"/>
              </w:rPr>
              <w:t>Com</w:t>
            </w:r>
          </w:p>
        </w:tc>
      </w:tr>
      <w:tr w:rsidR="00A06951" w14:paraId="434BB0EA"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6A0E5D9A" w14:textId="5B489875"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429DC53" w14:textId="254E3D28"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4F62DE7" w14:textId="458D0139" w:rsidR="00A06951" w:rsidRDefault="00A06951" w:rsidP="00A06951">
            <w:pPr>
              <w:spacing w:before="0" w:after="0" w:line="240" w:lineRule="exact"/>
              <w:rPr>
                <w:rFonts w:cs="Calibri Light"/>
                <w:color w:val="000000"/>
                <w:sz w:val="20"/>
                <w:szCs w:val="20"/>
              </w:rPr>
            </w:pPr>
            <w:r w:rsidRPr="00830614">
              <w:rPr>
                <w:rFonts w:cs="Calibri Light"/>
                <w:color w:val="000000"/>
                <w:sz w:val="20"/>
                <w:szCs w:val="20"/>
              </w:rPr>
              <w:t>Com</w:t>
            </w:r>
          </w:p>
        </w:tc>
      </w:tr>
      <w:tr w:rsidR="00A06951" w14:paraId="3A723F42"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9CECB1D" w14:textId="25D83D45"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D52E3AA" w14:textId="135467FB"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F4B937" w14:textId="2825D67C" w:rsidR="00A06951" w:rsidRDefault="00A06951" w:rsidP="00A06951">
            <w:pPr>
              <w:spacing w:before="0" w:after="0" w:line="240" w:lineRule="exact"/>
              <w:rPr>
                <w:rFonts w:cs="Calibri Light"/>
                <w:color w:val="000000"/>
                <w:sz w:val="20"/>
                <w:szCs w:val="20"/>
              </w:rPr>
            </w:pPr>
            <w:r>
              <w:rPr>
                <w:rFonts w:cs="Calibri Light"/>
                <w:color w:val="000000"/>
                <w:sz w:val="20"/>
                <w:szCs w:val="20"/>
              </w:rPr>
              <w:t>Ag</w:t>
            </w:r>
          </w:p>
        </w:tc>
      </w:tr>
      <w:tr w:rsidR="00A06951" w14:paraId="58153E5B"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BF19D5E" w14:textId="3F203266" w:rsidR="00A06951" w:rsidRDefault="00A06951" w:rsidP="00A06951">
            <w:pPr>
              <w:spacing w:before="0" w:after="0" w:line="240" w:lineRule="exact"/>
              <w:rPr>
                <w:rFonts w:cs="Calibri Light"/>
                <w:color w:val="000000"/>
                <w:sz w:val="20"/>
                <w:szCs w:val="20"/>
              </w:rPr>
            </w:pPr>
            <w:r w:rsidRPr="00237B8B">
              <w:lastRenderedPageBreak/>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2F098D" w14:textId="3D8FBE6C"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A8E1701" w14:textId="4E89167E" w:rsidR="00A06951" w:rsidRDefault="00A06951" w:rsidP="00A06951">
            <w:pPr>
              <w:spacing w:before="0" w:after="0" w:line="240" w:lineRule="exact"/>
              <w:rPr>
                <w:rFonts w:cs="Calibri Light"/>
                <w:color w:val="000000"/>
                <w:sz w:val="20"/>
                <w:szCs w:val="20"/>
              </w:rPr>
            </w:pPr>
            <w:r>
              <w:rPr>
                <w:rFonts w:cs="Calibri Light"/>
                <w:color w:val="000000"/>
                <w:sz w:val="20"/>
                <w:szCs w:val="20"/>
              </w:rPr>
              <w:t>Ag</w:t>
            </w:r>
          </w:p>
        </w:tc>
      </w:tr>
      <w:tr w:rsidR="00A06951" w14:paraId="0A11CB2B"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205FD5A" w14:textId="433A8F29"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D54CCB" w14:textId="72FA5CF7"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F0058D" w14:textId="09CD630C" w:rsidR="00A06951" w:rsidRDefault="00A06951" w:rsidP="00A06951">
            <w:pPr>
              <w:spacing w:before="0" w:after="0" w:line="240" w:lineRule="exact"/>
              <w:rPr>
                <w:rFonts w:cs="Calibri Light"/>
                <w:color w:val="000000"/>
                <w:sz w:val="20"/>
                <w:szCs w:val="20"/>
              </w:rPr>
            </w:pPr>
            <w:r>
              <w:rPr>
                <w:rFonts w:cs="Calibri Light"/>
                <w:color w:val="000000"/>
                <w:sz w:val="20"/>
                <w:szCs w:val="20"/>
              </w:rPr>
              <w:t>Ag</w:t>
            </w:r>
          </w:p>
        </w:tc>
      </w:tr>
      <w:tr w:rsidR="00A06951" w14:paraId="3C6C3F55"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67ABD509" w14:textId="75932A85"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189EC0" w14:textId="4AC99D34"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98EF57B" w14:textId="33A0AA49" w:rsidR="00A06951" w:rsidRDefault="00A06951" w:rsidP="00A06951">
            <w:pPr>
              <w:spacing w:before="0" w:after="0" w:line="240" w:lineRule="exact"/>
              <w:rPr>
                <w:rFonts w:cs="Calibri Light"/>
                <w:color w:val="000000"/>
                <w:sz w:val="20"/>
                <w:szCs w:val="20"/>
              </w:rPr>
            </w:pPr>
            <w:r>
              <w:rPr>
                <w:rFonts w:cs="Calibri Light"/>
                <w:color w:val="000000"/>
                <w:sz w:val="20"/>
                <w:szCs w:val="20"/>
              </w:rPr>
              <w:t>Ind</w:t>
            </w:r>
          </w:p>
        </w:tc>
      </w:tr>
      <w:tr w:rsidR="00A06951" w14:paraId="049ED4EB"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FC67CF1" w14:textId="271E62E0"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B3F3F5" w14:textId="741DFCBA"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A2BFA4" w14:textId="3D754EED" w:rsidR="00A06951" w:rsidRDefault="00A06951" w:rsidP="00A06951">
            <w:pPr>
              <w:spacing w:before="0" w:after="0" w:line="240" w:lineRule="exact"/>
              <w:rPr>
                <w:rFonts w:cs="Calibri Light"/>
                <w:color w:val="000000"/>
                <w:sz w:val="20"/>
                <w:szCs w:val="20"/>
              </w:rPr>
            </w:pPr>
            <w:r>
              <w:rPr>
                <w:rFonts w:cs="Calibri Light"/>
                <w:color w:val="000000"/>
                <w:sz w:val="20"/>
                <w:szCs w:val="20"/>
              </w:rPr>
              <w:t>Ind</w:t>
            </w:r>
          </w:p>
        </w:tc>
      </w:tr>
      <w:tr w:rsidR="00A06951" w14:paraId="2469FD32" w14:textId="77777777" w:rsidTr="0017286B">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5C5AE2C8" w14:textId="1D8274C6" w:rsidR="00A06951" w:rsidRDefault="00A06951" w:rsidP="00A06951">
            <w:pPr>
              <w:spacing w:before="0" w:after="0" w:line="240" w:lineRule="exact"/>
              <w:rPr>
                <w:rFonts w:cs="Calibri Light"/>
                <w:color w:val="000000"/>
                <w:sz w:val="20"/>
                <w:szCs w:val="20"/>
              </w:rPr>
            </w:pPr>
            <w:r w:rsidRPr="00237B8B">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BB0154" w14:textId="3671D92C" w:rsidR="00A06951" w:rsidRDefault="00A06951" w:rsidP="00A06951">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22EB1DC" w14:textId="48A53C2F" w:rsidR="00A06951" w:rsidRDefault="00A06951" w:rsidP="00A06951">
            <w:pPr>
              <w:spacing w:before="0" w:after="0" w:line="240" w:lineRule="exact"/>
              <w:rPr>
                <w:rFonts w:cs="Calibri Light"/>
                <w:color w:val="000000"/>
                <w:sz w:val="20"/>
                <w:szCs w:val="20"/>
              </w:rPr>
            </w:pPr>
            <w:r>
              <w:rPr>
                <w:rFonts w:cs="Calibri Light"/>
                <w:color w:val="000000"/>
                <w:sz w:val="20"/>
                <w:szCs w:val="20"/>
              </w:rPr>
              <w:t>Ind</w:t>
            </w:r>
          </w:p>
        </w:tc>
      </w:tr>
    </w:tbl>
    <w:p w14:paraId="48D29187" w14:textId="77777777" w:rsidR="00493B21" w:rsidRPr="004B06E3" w:rsidRDefault="00493B21" w:rsidP="00852A0D"/>
    <w:p w14:paraId="5125D2AA" w14:textId="77777777" w:rsidR="00AA46AF" w:rsidRDefault="00196649" w:rsidP="00154391">
      <w:pPr>
        <w:pStyle w:val="eTRMHeading5"/>
      </w:pPr>
      <w:r>
        <w:t>Eligible Products</w:t>
      </w:r>
    </w:p>
    <w:p w14:paraId="330FAFCE" w14:textId="42C2E242" w:rsidR="00E74646" w:rsidRDefault="00A204EF" w:rsidP="006930CA">
      <w:pPr>
        <w:spacing w:before="0" w:after="60" w:line="240" w:lineRule="auto"/>
        <w:rPr>
          <w:rFonts w:cstheme="minorHAnsi"/>
          <w:color w:val="191919" w:themeColor="text1"/>
          <w:szCs w:val="22"/>
        </w:rPr>
      </w:pPr>
      <w:r w:rsidRPr="0017286B">
        <w:rPr>
          <w:rFonts w:cstheme="minorHAnsi"/>
          <w:color w:val="191919" w:themeColor="text1"/>
        </w:rPr>
        <w:t xml:space="preserve">The </w:t>
      </w:r>
      <w:r w:rsidRPr="0017286B">
        <w:rPr>
          <w:rFonts w:cstheme="minorHAnsi"/>
          <w:color w:val="191919" w:themeColor="text1"/>
          <w:szCs w:val="22"/>
        </w:rPr>
        <w:t xml:space="preserve">new display cases must be one of the following </w:t>
      </w:r>
      <w:r w:rsidR="00807023">
        <w:rPr>
          <w:rFonts w:cstheme="minorHAnsi"/>
          <w:color w:val="191919" w:themeColor="text1"/>
          <w:szCs w:val="22"/>
        </w:rPr>
        <w:t>eighteen</w:t>
      </w:r>
      <w:r w:rsidR="0034250F" w:rsidRPr="0017286B">
        <w:rPr>
          <w:rFonts w:cstheme="minorHAnsi"/>
          <w:color w:val="191919" w:themeColor="text1"/>
          <w:szCs w:val="22"/>
        </w:rPr>
        <w:t xml:space="preserve"> </w:t>
      </w:r>
      <w:r w:rsidRPr="0017286B">
        <w:rPr>
          <w:rFonts w:cstheme="minorHAnsi"/>
          <w:color w:val="191919" w:themeColor="text1"/>
          <w:szCs w:val="22"/>
        </w:rPr>
        <w:t>classes</w:t>
      </w:r>
      <w:r w:rsidR="00E74646" w:rsidRPr="0017286B">
        <w:rPr>
          <w:rFonts w:cstheme="minorHAnsi"/>
          <w:color w:val="191919" w:themeColor="text1"/>
          <w:szCs w:val="22"/>
        </w:rPr>
        <w:t xml:space="preserve"> </w:t>
      </w:r>
      <w:r w:rsidR="000F7A17" w:rsidRPr="0017286B">
        <w:rPr>
          <w:rFonts w:cstheme="minorHAnsi"/>
          <w:color w:val="191919" w:themeColor="text1"/>
          <w:szCs w:val="22"/>
        </w:rPr>
        <w:t>specified below</w:t>
      </w:r>
      <w:r w:rsidR="00E74646" w:rsidRPr="0017286B">
        <w:rPr>
          <w:rFonts w:cstheme="minorHAnsi"/>
          <w:color w:val="191919" w:themeColor="text1"/>
          <w:szCs w:val="22"/>
        </w:rPr>
        <w:t>.</w:t>
      </w:r>
    </w:p>
    <w:p w14:paraId="7BD848D3" w14:textId="77777777" w:rsidR="00E74646" w:rsidRDefault="00E74646" w:rsidP="00E74646">
      <w:pPr>
        <w:pStyle w:val="Caption"/>
      </w:pPr>
      <w:r>
        <w:t>Eligible High-Efficiency Display Cases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5"/>
        <w:gridCol w:w="6945"/>
      </w:tblGrid>
      <w:tr w:rsidR="0071449F" w:rsidRPr="0071449F" w14:paraId="3AC8F646" w14:textId="77777777" w:rsidTr="0017286B">
        <w:tc>
          <w:tcPr>
            <w:tcW w:w="2405" w:type="dxa"/>
            <w:shd w:val="clear" w:color="auto" w:fill="F2F2F2" w:themeFill="background1" w:themeFillShade="F2"/>
            <w:vAlign w:val="bottom"/>
          </w:tcPr>
          <w:p w14:paraId="336EC26F" w14:textId="77777777" w:rsidR="0071449F" w:rsidRPr="00652F15" w:rsidRDefault="0071449F" w:rsidP="00E74646">
            <w:pPr>
              <w:spacing w:before="20" w:after="20" w:line="240" w:lineRule="auto"/>
              <w:rPr>
                <w:b/>
                <w:sz w:val="20"/>
                <w:szCs w:val="20"/>
              </w:rPr>
            </w:pPr>
            <w:r w:rsidRPr="00652F15">
              <w:rPr>
                <w:rFonts w:cstheme="minorHAnsi"/>
                <w:b/>
                <w:sz w:val="20"/>
                <w:szCs w:val="20"/>
              </w:rPr>
              <w:t>Equipment Class Designation</w:t>
            </w:r>
          </w:p>
        </w:tc>
        <w:tc>
          <w:tcPr>
            <w:tcW w:w="6945" w:type="dxa"/>
            <w:shd w:val="clear" w:color="auto" w:fill="F2F2F2" w:themeFill="background1" w:themeFillShade="F2"/>
          </w:tcPr>
          <w:p w14:paraId="3B25F8DC" w14:textId="77777777" w:rsidR="0071449F" w:rsidRPr="00652F15" w:rsidRDefault="0071449F" w:rsidP="00E74646">
            <w:pPr>
              <w:spacing w:before="20" w:after="20" w:line="240" w:lineRule="auto"/>
              <w:rPr>
                <w:b/>
                <w:sz w:val="20"/>
                <w:szCs w:val="20"/>
              </w:rPr>
            </w:pPr>
            <w:r w:rsidRPr="00652F15">
              <w:rPr>
                <w:b/>
                <w:sz w:val="20"/>
                <w:szCs w:val="20"/>
              </w:rPr>
              <w:t>Description</w:t>
            </w:r>
          </w:p>
        </w:tc>
      </w:tr>
      <w:tr w:rsidR="0071449F" w14:paraId="693B7645" w14:textId="77777777" w:rsidTr="0017286B">
        <w:tc>
          <w:tcPr>
            <w:tcW w:w="2405" w:type="dxa"/>
          </w:tcPr>
          <w:p w14:paraId="4A9CB9EA" w14:textId="77777777" w:rsidR="0071449F" w:rsidRPr="00652F15" w:rsidRDefault="0071449F" w:rsidP="00E74646">
            <w:pPr>
              <w:spacing w:before="20" w:after="20" w:line="240" w:lineRule="auto"/>
              <w:rPr>
                <w:sz w:val="20"/>
                <w:szCs w:val="20"/>
              </w:rPr>
            </w:pPr>
            <w:r w:rsidRPr="00652F15">
              <w:rPr>
                <w:i/>
                <w:sz w:val="20"/>
                <w:szCs w:val="20"/>
              </w:rPr>
              <w:t>VOP.RC.M</w:t>
            </w:r>
          </w:p>
        </w:tc>
        <w:tc>
          <w:tcPr>
            <w:tcW w:w="6945" w:type="dxa"/>
          </w:tcPr>
          <w:p w14:paraId="799521B8" w14:textId="77777777" w:rsidR="0071449F" w:rsidRPr="00652F15" w:rsidRDefault="0071449F" w:rsidP="00E74646">
            <w:pPr>
              <w:spacing w:before="20" w:after="20" w:line="240" w:lineRule="auto"/>
              <w:rPr>
                <w:sz w:val="20"/>
                <w:szCs w:val="20"/>
              </w:rPr>
            </w:pPr>
            <w:r w:rsidRPr="00652F15">
              <w:rPr>
                <w:sz w:val="20"/>
                <w:szCs w:val="20"/>
              </w:rPr>
              <w:t>Vertical Open, Remote Condensing Commercial Refrigerators</w:t>
            </w:r>
          </w:p>
        </w:tc>
      </w:tr>
      <w:tr w:rsidR="0071449F" w14:paraId="367F0FF9" w14:textId="77777777" w:rsidTr="0017286B">
        <w:tc>
          <w:tcPr>
            <w:tcW w:w="2405" w:type="dxa"/>
          </w:tcPr>
          <w:p w14:paraId="29351A99" w14:textId="77777777" w:rsidR="0071449F" w:rsidRPr="00652F15" w:rsidRDefault="0071449F" w:rsidP="00E74646">
            <w:pPr>
              <w:spacing w:before="20" w:after="20" w:line="240" w:lineRule="auto"/>
              <w:rPr>
                <w:sz w:val="20"/>
                <w:szCs w:val="20"/>
              </w:rPr>
            </w:pPr>
            <w:r w:rsidRPr="00652F15">
              <w:rPr>
                <w:i/>
                <w:sz w:val="20"/>
                <w:szCs w:val="20"/>
              </w:rPr>
              <w:t>SVO.RC.M</w:t>
            </w:r>
          </w:p>
        </w:tc>
        <w:tc>
          <w:tcPr>
            <w:tcW w:w="6945" w:type="dxa"/>
          </w:tcPr>
          <w:p w14:paraId="754A17C6" w14:textId="77777777" w:rsidR="0071449F" w:rsidRPr="00652F15" w:rsidRDefault="0071449F" w:rsidP="00E74646">
            <w:pPr>
              <w:spacing w:before="20" w:after="20" w:line="240" w:lineRule="auto"/>
              <w:rPr>
                <w:sz w:val="20"/>
                <w:szCs w:val="20"/>
              </w:rPr>
            </w:pPr>
            <w:r w:rsidRPr="00652F15">
              <w:rPr>
                <w:sz w:val="20"/>
                <w:szCs w:val="20"/>
              </w:rPr>
              <w:t>Semi vertical Open, Remote Condensing Commercial Refrigerators</w:t>
            </w:r>
          </w:p>
        </w:tc>
      </w:tr>
      <w:tr w:rsidR="0071449F" w14:paraId="10B45116" w14:textId="77777777" w:rsidTr="0017286B">
        <w:tc>
          <w:tcPr>
            <w:tcW w:w="2405" w:type="dxa"/>
          </w:tcPr>
          <w:p w14:paraId="4394A5D7" w14:textId="77777777" w:rsidR="0071449F" w:rsidRPr="00652F15" w:rsidRDefault="0071449F" w:rsidP="00E74646">
            <w:pPr>
              <w:spacing w:before="20" w:after="20" w:line="240" w:lineRule="auto"/>
              <w:rPr>
                <w:sz w:val="20"/>
                <w:szCs w:val="20"/>
              </w:rPr>
            </w:pPr>
            <w:r w:rsidRPr="00652F15">
              <w:rPr>
                <w:i/>
                <w:sz w:val="20"/>
                <w:szCs w:val="20"/>
              </w:rPr>
              <w:t>HZO.RC.L</w:t>
            </w:r>
          </w:p>
        </w:tc>
        <w:tc>
          <w:tcPr>
            <w:tcW w:w="6945" w:type="dxa"/>
          </w:tcPr>
          <w:p w14:paraId="38AAEF8A" w14:textId="77777777" w:rsidR="0071449F" w:rsidRPr="00652F15" w:rsidRDefault="0071449F" w:rsidP="00E74646">
            <w:pPr>
              <w:spacing w:before="20" w:after="20" w:line="240" w:lineRule="auto"/>
              <w:rPr>
                <w:sz w:val="20"/>
                <w:szCs w:val="20"/>
              </w:rPr>
            </w:pPr>
            <w:r w:rsidRPr="00652F15">
              <w:rPr>
                <w:sz w:val="20"/>
                <w:szCs w:val="20"/>
              </w:rPr>
              <w:t>Horizontal Open, Remote Condensing Commercial Freezers</w:t>
            </w:r>
          </w:p>
        </w:tc>
      </w:tr>
      <w:tr w:rsidR="0071449F" w14:paraId="04A72FC7" w14:textId="77777777" w:rsidTr="0017286B">
        <w:tc>
          <w:tcPr>
            <w:tcW w:w="2405" w:type="dxa"/>
          </w:tcPr>
          <w:p w14:paraId="70976532" w14:textId="77777777" w:rsidR="0071449F" w:rsidRPr="00652F15" w:rsidRDefault="0071449F" w:rsidP="00E74646">
            <w:pPr>
              <w:spacing w:before="20" w:after="20" w:line="240" w:lineRule="auto"/>
              <w:rPr>
                <w:sz w:val="20"/>
                <w:szCs w:val="20"/>
              </w:rPr>
            </w:pPr>
            <w:r w:rsidRPr="00652F15">
              <w:rPr>
                <w:i/>
                <w:sz w:val="20"/>
                <w:szCs w:val="20"/>
              </w:rPr>
              <w:t>VCT.RC.L</w:t>
            </w:r>
          </w:p>
        </w:tc>
        <w:tc>
          <w:tcPr>
            <w:tcW w:w="6945" w:type="dxa"/>
          </w:tcPr>
          <w:p w14:paraId="7B1235CF" w14:textId="77777777" w:rsidR="0071449F" w:rsidRPr="00652F15" w:rsidRDefault="0071449F" w:rsidP="00E74646">
            <w:pPr>
              <w:spacing w:before="20" w:after="20" w:line="240" w:lineRule="auto"/>
              <w:rPr>
                <w:sz w:val="20"/>
                <w:szCs w:val="20"/>
              </w:rPr>
            </w:pPr>
            <w:r w:rsidRPr="00652F15">
              <w:rPr>
                <w:sz w:val="20"/>
                <w:szCs w:val="20"/>
              </w:rPr>
              <w:t>Vertical Closed Transparent, Remote Condensing Commercial Freezers</w:t>
            </w:r>
          </w:p>
        </w:tc>
      </w:tr>
      <w:tr w:rsidR="0071449F" w14:paraId="0196E045" w14:textId="77777777" w:rsidTr="0017286B">
        <w:tc>
          <w:tcPr>
            <w:tcW w:w="2405" w:type="dxa"/>
          </w:tcPr>
          <w:p w14:paraId="1CE09639" w14:textId="77777777" w:rsidR="0071449F" w:rsidRPr="00652F15" w:rsidRDefault="0071449F" w:rsidP="00E74646">
            <w:pPr>
              <w:spacing w:before="20" w:after="20" w:line="240" w:lineRule="auto"/>
              <w:rPr>
                <w:sz w:val="20"/>
                <w:szCs w:val="20"/>
              </w:rPr>
            </w:pPr>
            <w:r w:rsidRPr="00652F15">
              <w:rPr>
                <w:i/>
                <w:sz w:val="20"/>
                <w:szCs w:val="20"/>
              </w:rPr>
              <w:t>VCT.RC.M</w:t>
            </w:r>
          </w:p>
        </w:tc>
        <w:tc>
          <w:tcPr>
            <w:tcW w:w="6945" w:type="dxa"/>
          </w:tcPr>
          <w:p w14:paraId="6EEFD3A2" w14:textId="77777777" w:rsidR="0071449F" w:rsidRPr="00652F15" w:rsidRDefault="0071449F" w:rsidP="00E74646">
            <w:pPr>
              <w:spacing w:before="20" w:after="20" w:line="240" w:lineRule="auto"/>
              <w:rPr>
                <w:sz w:val="20"/>
                <w:szCs w:val="20"/>
              </w:rPr>
            </w:pPr>
            <w:r w:rsidRPr="00652F15">
              <w:rPr>
                <w:sz w:val="20"/>
                <w:szCs w:val="20"/>
              </w:rPr>
              <w:t>Vertical Closed Transparent, Remote Condensing Commercial Refrigerators</w:t>
            </w:r>
          </w:p>
        </w:tc>
      </w:tr>
      <w:tr w:rsidR="00C31B19" w14:paraId="3511A1F5" w14:textId="77777777" w:rsidTr="0017286B">
        <w:tc>
          <w:tcPr>
            <w:tcW w:w="2405" w:type="dxa"/>
          </w:tcPr>
          <w:p w14:paraId="142678A2" w14:textId="77777777" w:rsidR="00C31B19" w:rsidRPr="00652F15" w:rsidRDefault="00301CC1" w:rsidP="00E74646">
            <w:pPr>
              <w:spacing w:before="20" w:after="20" w:line="240" w:lineRule="auto"/>
              <w:rPr>
                <w:i/>
                <w:sz w:val="20"/>
                <w:szCs w:val="20"/>
              </w:rPr>
            </w:pPr>
            <w:r w:rsidRPr="00652F15">
              <w:rPr>
                <w:i/>
                <w:sz w:val="20"/>
                <w:szCs w:val="20"/>
              </w:rPr>
              <w:t>VCT.SC.M</w:t>
            </w:r>
          </w:p>
        </w:tc>
        <w:tc>
          <w:tcPr>
            <w:tcW w:w="6945" w:type="dxa"/>
          </w:tcPr>
          <w:p w14:paraId="22EE8FDC" w14:textId="77777777" w:rsidR="00C31B19" w:rsidRPr="00652F15" w:rsidRDefault="00301CC1" w:rsidP="00E74646">
            <w:pPr>
              <w:spacing w:before="20" w:after="20" w:line="240" w:lineRule="auto"/>
              <w:rPr>
                <w:sz w:val="20"/>
                <w:szCs w:val="20"/>
              </w:rPr>
            </w:pPr>
            <w:r w:rsidRPr="00652F15">
              <w:rPr>
                <w:sz w:val="20"/>
                <w:szCs w:val="20"/>
              </w:rPr>
              <w:t>Vertical Closed Transparent, Self-Contained Commercial Refrigerators</w:t>
            </w:r>
          </w:p>
        </w:tc>
      </w:tr>
      <w:tr w:rsidR="00301CC1" w14:paraId="55FFE539" w14:textId="77777777" w:rsidTr="0017286B">
        <w:tc>
          <w:tcPr>
            <w:tcW w:w="2405" w:type="dxa"/>
          </w:tcPr>
          <w:p w14:paraId="007F0A96" w14:textId="77777777" w:rsidR="00301CC1" w:rsidRPr="00652F15" w:rsidRDefault="00301CC1" w:rsidP="00E74646">
            <w:pPr>
              <w:spacing w:before="20" w:after="20" w:line="240" w:lineRule="auto"/>
              <w:rPr>
                <w:i/>
                <w:sz w:val="20"/>
                <w:szCs w:val="20"/>
              </w:rPr>
            </w:pPr>
            <w:r w:rsidRPr="00652F15">
              <w:rPr>
                <w:i/>
                <w:sz w:val="20"/>
                <w:szCs w:val="20"/>
              </w:rPr>
              <w:t>VCT.SC.L</w:t>
            </w:r>
          </w:p>
        </w:tc>
        <w:tc>
          <w:tcPr>
            <w:tcW w:w="6945" w:type="dxa"/>
          </w:tcPr>
          <w:p w14:paraId="24C5DEC5" w14:textId="77777777" w:rsidR="00301CC1" w:rsidRPr="00652F15" w:rsidRDefault="00301CC1" w:rsidP="00E74646">
            <w:pPr>
              <w:spacing w:before="20" w:after="20" w:line="240" w:lineRule="auto"/>
              <w:rPr>
                <w:sz w:val="20"/>
                <w:szCs w:val="20"/>
              </w:rPr>
            </w:pPr>
            <w:r w:rsidRPr="00652F15">
              <w:rPr>
                <w:sz w:val="20"/>
                <w:szCs w:val="20"/>
              </w:rPr>
              <w:t>Vertical Closed Transparent, Self-Contained Commercial Freezers</w:t>
            </w:r>
          </w:p>
        </w:tc>
      </w:tr>
      <w:tr w:rsidR="00412152" w14:paraId="33CE85C3" w14:textId="77777777" w:rsidTr="0017286B">
        <w:tc>
          <w:tcPr>
            <w:tcW w:w="2405" w:type="dxa"/>
          </w:tcPr>
          <w:p w14:paraId="5509AB80" w14:textId="77777777" w:rsidR="00412152" w:rsidRPr="00652F15" w:rsidRDefault="00412152" w:rsidP="00412152">
            <w:pPr>
              <w:spacing w:before="20" w:after="20" w:line="240" w:lineRule="auto"/>
              <w:rPr>
                <w:i/>
                <w:sz w:val="20"/>
                <w:szCs w:val="20"/>
              </w:rPr>
            </w:pPr>
            <w:r w:rsidRPr="00652F15">
              <w:rPr>
                <w:i/>
                <w:sz w:val="20"/>
                <w:szCs w:val="20"/>
              </w:rPr>
              <w:t>VCS.SC.M</w:t>
            </w:r>
          </w:p>
        </w:tc>
        <w:tc>
          <w:tcPr>
            <w:tcW w:w="6945" w:type="dxa"/>
          </w:tcPr>
          <w:p w14:paraId="6F0527A3" w14:textId="77777777" w:rsidR="00412152" w:rsidRPr="00652F15" w:rsidRDefault="00412152" w:rsidP="00412152">
            <w:pPr>
              <w:spacing w:before="20" w:after="20" w:line="240" w:lineRule="auto"/>
              <w:rPr>
                <w:sz w:val="20"/>
                <w:szCs w:val="20"/>
              </w:rPr>
            </w:pPr>
            <w:r w:rsidRPr="00652F15">
              <w:rPr>
                <w:sz w:val="20"/>
                <w:szCs w:val="20"/>
              </w:rPr>
              <w:t>Vertical Closed Solid, Self-Contained Commercial Refrigerators</w:t>
            </w:r>
          </w:p>
        </w:tc>
      </w:tr>
      <w:tr w:rsidR="00412152" w14:paraId="0BCD9EFC" w14:textId="77777777" w:rsidTr="0017286B">
        <w:tc>
          <w:tcPr>
            <w:tcW w:w="2405" w:type="dxa"/>
          </w:tcPr>
          <w:p w14:paraId="14EE52E6" w14:textId="77777777" w:rsidR="00412152" w:rsidRPr="00652F15" w:rsidRDefault="00412152" w:rsidP="00412152">
            <w:pPr>
              <w:spacing w:before="20" w:after="20" w:line="240" w:lineRule="auto"/>
              <w:rPr>
                <w:i/>
                <w:sz w:val="20"/>
                <w:szCs w:val="20"/>
              </w:rPr>
            </w:pPr>
            <w:r w:rsidRPr="00652F15">
              <w:rPr>
                <w:i/>
                <w:sz w:val="20"/>
                <w:szCs w:val="20"/>
              </w:rPr>
              <w:t>VCS.SC.L</w:t>
            </w:r>
          </w:p>
        </w:tc>
        <w:tc>
          <w:tcPr>
            <w:tcW w:w="6945" w:type="dxa"/>
          </w:tcPr>
          <w:p w14:paraId="15EEF8DB" w14:textId="77777777" w:rsidR="00412152" w:rsidRPr="00652F15" w:rsidRDefault="00412152" w:rsidP="00412152">
            <w:pPr>
              <w:spacing w:before="20" w:after="20" w:line="240" w:lineRule="auto"/>
              <w:rPr>
                <w:sz w:val="20"/>
                <w:szCs w:val="20"/>
              </w:rPr>
            </w:pPr>
            <w:r w:rsidRPr="00652F15">
              <w:rPr>
                <w:sz w:val="20"/>
                <w:szCs w:val="20"/>
              </w:rPr>
              <w:t>Vertical Closed Solid, Self-Contained Commercial Freezers</w:t>
            </w:r>
          </w:p>
        </w:tc>
      </w:tr>
      <w:tr w:rsidR="00412152" w14:paraId="640B7A0C" w14:textId="77777777" w:rsidTr="0017286B">
        <w:tc>
          <w:tcPr>
            <w:tcW w:w="2405" w:type="dxa"/>
          </w:tcPr>
          <w:p w14:paraId="6A58F094" w14:textId="77777777" w:rsidR="00412152" w:rsidRPr="00652F15" w:rsidRDefault="00DC3EDD" w:rsidP="00412152">
            <w:pPr>
              <w:spacing w:before="20" w:after="20" w:line="240" w:lineRule="auto"/>
              <w:rPr>
                <w:i/>
                <w:sz w:val="20"/>
                <w:szCs w:val="20"/>
              </w:rPr>
            </w:pPr>
            <w:r w:rsidRPr="00652F15">
              <w:rPr>
                <w:i/>
                <w:sz w:val="20"/>
                <w:szCs w:val="20"/>
              </w:rPr>
              <w:t>HCT.SC.M</w:t>
            </w:r>
          </w:p>
        </w:tc>
        <w:tc>
          <w:tcPr>
            <w:tcW w:w="6945" w:type="dxa"/>
          </w:tcPr>
          <w:p w14:paraId="71123F18" w14:textId="77777777" w:rsidR="00412152" w:rsidRPr="00652F15" w:rsidRDefault="00DC3EDD" w:rsidP="00412152">
            <w:pPr>
              <w:spacing w:before="20" w:after="20" w:line="240" w:lineRule="auto"/>
              <w:rPr>
                <w:sz w:val="20"/>
                <w:szCs w:val="20"/>
              </w:rPr>
            </w:pPr>
            <w:r w:rsidRPr="00652F15">
              <w:rPr>
                <w:sz w:val="20"/>
                <w:szCs w:val="20"/>
              </w:rPr>
              <w:t>Horizontal Closed Transparent, Self-Contained Commercial Refrigerators with Doors</w:t>
            </w:r>
          </w:p>
        </w:tc>
      </w:tr>
      <w:tr w:rsidR="00412152" w14:paraId="00D405ED" w14:textId="77777777" w:rsidTr="0017286B">
        <w:tc>
          <w:tcPr>
            <w:tcW w:w="2405" w:type="dxa"/>
          </w:tcPr>
          <w:p w14:paraId="275601CB" w14:textId="77777777" w:rsidR="00412152" w:rsidRPr="00652F15" w:rsidRDefault="00412152" w:rsidP="00412152">
            <w:pPr>
              <w:spacing w:before="20" w:after="20" w:line="240" w:lineRule="auto"/>
              <w:rPr>
                <w:sz w:val="20"/>
                <w:szCs w:val="20"/>
              </w:rPr>
            </w:pPr>
            <w:r w:rsidRPr="00652F15">
              <w:rPr>
                <w:i/>
                <w:sz w:val="20"/>
                <w:szCs w:val="20"/>
              </w:rPr>
              <w:t>HCT.SC.L</w:t>
            </w:r>
          </w:p>
        </w:tc>
        <w:tc>
          <w:tcPr>
            <w:tcW w:w="6945" w:type="dxa"/>
          </w:tcPr>
          <w:p w14:paraId="298F7DA6" w14:textId="77777777" w:rsidR="00412152" w:rsidRPr="00652F15" w:rsidRDefault="00412152" w:rsidP="00412152">
            <w:pPr>
              <w:spacing w:before="20" w:after="20" w:line="240" w:lineRule="auto"/>
              <w:rPr>
                <w:sz w:val="20"/>
                <w:szCs w:val="20"/>
              </w:rPr>
            </w:pPr>
            <w:r w:rsidRPr="00652F15">
              <w:rPr>
                <w:sz w:val="20"/>
                <w:szCs w:val="20"/>
              </w:rPr>
              <w:t>Horizontal Closed Transparent, Self-Contained Commercial Freezers with Doors</w:t>
            </w:r>
          </w:p>
        </w:tc>
      </w:tr>
      <w:tr w:rsidR="00412152" w14:paraId="4303AFB5" w14:textId="77777777" w:rsidTr="0017286B">
        <w:tc>
          <w:tcPr>
            <w:tcW w:w="2405" w:type="dxa"/>
          </w:tcPr>
          <w:p w14:paraId="60F4068C" w14:textId="77777777" w:rsidR="00412152" w:rsidRPr="00652F15" w:rsidRDefault="00412152" w:rsidP="00412152">
            <w:pPr>
              <w:spacing w:before="20" w:after="20" w:line="240" w:lineRule="auto"/>
              <w:rPr>
                <w:sz w:val="20"/>
                <w:szCs w:val="20"/>
              </w:rPr>
            </w:pPr>
            <w:r w:rsidRPr="00652F15">
              <w:rPr>
                <w:i/>
                <w:sz w:val="20"/>
                <w:szCs w:val="20"/>
              </w:rPr>
              <w:t>HCS.SC.M</w:t>
            </w:r>
          </w:p>
        </w:tc>
        <w:tc>
          <w:tcPr>
            <w:tcW w:w="6945" w:type="dxa"/>
          </w:tcPr>
          <w:p w14:paraId="0CAC2492" w14:textId="77777777" w:rsidR="00412152" w:rsidRPr="00652F15" w:rsidRDefault="00412152" w:rsidP="00412152">
            <w:pPr>
              <w:spacing w:before="20" w:after="20" w:line="240" w:lineRule="auto"/>
              <w:rPr>
                <w:sz w:val="20"/>
                <w:szCs w:val="20"/>
              </w:rPr>
            </w:pPr>
            <w:r w:rsidRPr="00652F15">
              <w:rPr>
                <w:sz w:val="20"/>
                <w:szCs w:val="20"/>
              </w:rPr>
              <w:t>Horizontal Closed Solid, Self-Contained Commercial Refrigerators with Doors</w:t>
            </w:r>
          </w:p>
        </w:tc>
      </w:tr>
      <w:tr w:rsidR="00DC3EDD" w14:paraId="5250B9B8" w14:textId="77777777" w:rsidTr="0017286B">
        <w:tc>
          <w:tcPr>
            <w:tcW w:w="2405" w:type="dxa"/>
          </w:tcPr>
          <w:p w14:paraId="7F789535" w14:textId="77777777" w:rsidR="00DC3EDD" w:rsidRPr="00652F15" w:rsidRDefault="00DC3EDD" w:rsidP="00DC3EDD">
            <w:pPr>
              <w:spacing w:before="20" w:after="20" w:line="240" w:lineRule="auto"/>
              <w:rPr>
                <w:i/>
                <w:sz w:val="20"/>
                <w:szCs w:val="20"/>
              </w:rPr>
            </w:pPr>
            <w:r w:rsidRPr="00652F15">
              <w:rPr>
                <w:i/>
                <w:sz w:val="20"/>
                <w:szCs w:val="20"/>
              </w:rPr>
              <w:t>HCS.SC.L</w:t>
            </w:r>
          </w:p>
        </w:tc>
        <w:tc>
          <w:tcPr>
            <w:tcW w:w="6945" w:type="dxa"/>
          </w:tcPr>
          <w:p w14:paraId="50010604" w14:textId="77777777" w:rsidR="00DC3EDD" w:rsidRPr="00652F15" w:rsidRDefault="00DC3EDD" w:rsidP="00DC3EDD">
            <w:pPr>
              <w:spacing w:before="20" w:after="20" w:line="240" w:lineRule="auto"/>
              <w:rPr>
                <w:sz w:val="20"/>
                <w:szCs w:val="20"/>
              </w:rPr>
            </w:pPr>
            <w:r w:rsidRPr="00652F15">
              <w:rPr>
                <w:sz w:val="20"/>
                <w:szCs w:val="20"/>
              </w:rPr>
              <w:t>Horizontal Closed Solid, Self-Contained Commercial Freezers with Doors</w:t>
            </w:r>
          </w:p>
        </w:tc>
      </w:tr>
      <w:tr w:rsidR="00DC3EDD" w14:paraId="086FBB21" w14:textId="77777777" w:rsidTr="0017286B">
        <w:tc>
          <w:tcPr>
            <w:tcW w:w="2405" w:type="dxa"/>
          </w:tcPr>
          <w:p w14:paraId="0CC24C18" w14:textId="77777777" w:rsidR="00DC3EDD" w:rsidRPr="00652F15" w:rsidRDefault="00DC3EDD" w:rsidP="00DC3EDD">
            <w:pPr>
              <w:spacing w:before="20" w:after="20" w:line="240" w:lineRule="auto"/>
              <w:rPr>
                <w:sz w:val="20"/>
                <w:szCs w:val="20"/>
              </w:rPr>
            </w:pPr>
            <w:r w:rsidRPr="00652F15">
              <w:rPr>
                <w:i/>
                <w:sz w:val="20"/>
                <w:szCs w:val="20"/>
              </w:rPr>
              <w:t>HCT.SC.I</w:t>
            </w:r>
          </w:p>
        </w:tc>
        <w:tc>
          <w:tcPr>
            <w:tcW w:w="6945" w:type="dxa"/>
          </w:tcPr>
          <w:p w14:paraId="14EDF8D5" w14:textId="77777777" w:rsidR="00DC3EDD" w:rsidRPr="00652F15" w:rsidRDefault="00DC3EDD" w:rsidP="00DC3EDD">
            <w:pPr>
              <w:spacing w:before="20" w:after="20" w:line="240" w:lineRule="auto"/>
              <w:rPr>
                <w:sz w:val="20"/>
                <w:szCs w:val="20"/>
              </w:rPr>
            </w:pPr>
            <w:r w:rsidRPr="00652F15">
              <w:rPr>
                <w:sz w:val="20"/>
                <w:szCs w:val="20"/>
              </w:rPr>
              <w:t>Horizontal Closed Transparent, Self-Contained Commercial Ice-Cream Freezers</w:t>
            </w:r>
          </w:p>
        </w:tc>
      </w:tr>
      <w:tr w:rsidR="001E05BD" w14:paraId="08788D81" w14:textId="77777777" w:rsidTr="0017286B">
        <w:tc>
          <w:tcPr>
            <w:tcW w:w="2405" w:type="dxa"/>
          </w:tcPr>
          <w:p w14:paraId="50BA109C" w14:textId="60776386" w:rsidR="001E05BD" w:rsidRPr="00652F15" w:rsidRDefault="001E05BD" w:rsidP="00DC3EDD">
            <w:pPr>
              <w:spacing w:before="20" w:after="20" w:line="240" w:lineRule="auto"/>
              <w:rPr>
                <w:i/>
                <w:sz w:val="20"/>
                <w:szCs w:val="20"/>
              </w:rPr>
            </w:pPr>
            <w:r>
              <w:rPr>
                <w:i/>
                <w:sz w:val="20"/>
                <w:szCs w:val="20"/>
              </w:rPr>
              <w:t>SOC.RC.M</w:t>
            </w:r>
          </w:p>
        </w:tc>
        <w:tc>
          <w:tcPr>
            <w:tcW w:w="6945" w:type="dxa"/>
          </w:tcPr>
          <w:p w14:paraId="0D1C0F03" w14:textId="3B723AAD" w:rsidR="001E05BD" w:rsidRPr="00652F15" w:rsidRDefault="001E05BD" w:rsidP="00DC3EDD">
            <w:pPr>
              <w:spacing w:before="20" w:after="20" w:line="240" w:lineRule="auto"/>
              <w:rPr>
                <w:sz w:val="20"/>
                <w:szCs w:val="20"/>
              </w:rPr>
            </w:pPr>
            <w:r>
              <w:rPr>
                <w:sz w:val="20"/>
                <w:szCs w:val="20"/>
              </w:rPr>
              <w:t>Service Over Counter, Remote Condensing Commercial Refrigerators</w:t>
            </w:r>
          </w:p>
        </w:tc>
      </w:tr>
      <w:tr w:rsidR="001E05BD" w14:paraId="6F06884E" w14:textId="77777777" w:rsidTr="0017286B">
        <w:tc>
          <w:tcPr>
            <w:tcW w:w="2405" w:type="dxa"/>
          </w:tcPr>
          <w:p w14:paraId="040612CA" w14:textId="14A61ECB" w:rsidR="001E05BD" w:rsidRPr="00652F15" w:rsidRDefault="001E05BD" w:rsidP="00DC3EDD">
            <w:pPr>
              <w:spacing w:before="20" w:after="20" w:line="240" w:lineRule="auto"/>
              <w:rPr>
                <w:i/>
                <w:sz w:val="20"/>
                <w:szCs w:val="20"/>
              </w:rPr>
            </w:pPr>
            <w:r>
              <w:rPr>
                <w:i/>
                <w:sz w:val="20"/>
                <w:szCs w:val="20"/>
              </w:rPr>
              <w:t>SOC.SC.M</w:t>
            </w:r>
          </w:p>
        </w:tc>
        <w:tc>
          <w:tcPr>
            <w:tcW w:w="6945" w:type="dxa"/>
          </w:tcPr>
          <w:p w14:paraId="780B92AA" w14:textId="17D48464" w:rsidR="001E05BD" w:rsidRPr="00652F15" w:rsidRDefault="001E05BD" w:rsidP="00DC3EDD">
            <w:pPr>
              <w:spacing w:before="20" w:after="20" w:line="240" w:lineRule="auto"/>
              <w:rPr>
                <w:sz w:val="20"/>
                <w:szCs w:val="20"/>
              </w:rPr>
            </w:pPr>
            <w:r>
              <w:rPr>
                <w:sz w:val="20"/>
                <w:szCs w:val="20"/>
              </w:rPr>
              <w:t xml:space="preserve">Service Over Counter, </w:t>
            </w:r>
            <w:r w:rsidRPr="00652F15">
              <w:rPr>
                <w:sz w:val="20"/>
                <w:szCs w:val="20"/>
              </w:rPr>
              <w:t>Self-Contained</w:t>
            </w:r>
            <w:r>
              <w:rPr>
                <w:sz w:val="20"/>
                <w:szCs w:val="20"/>
              </w:rPr>
              <w:t xml:space="preserve"> Commercial Refrigerators</w:t>
            </w:r>
            <w:r w:rsidR="00842984">
              <w:rPr>
                <w:sz w:val="20"/>
                <w:szCs w:val="20"/>
              </w:rPr>
              <w:t xml:space="preserve"> with Doors</w:t>
            </w:r>
          </w:p>
        </w:tc>
      </w:tr>
      <w:tr w:rsidR="001E05BD" w14:paraId="079917E5" w14:textId="77777777" w:rsidTr="0017286B">
        <w:tc>
          <w:tcPr>
            <w:tcW w:w="2405" w:type="dxa"/>
          </w:tcPr>
          <w:p w14:paraId="11BB74EE" w14:textId="6BA94977" w:rsidR="001E05BD" w:rsidRPr="00652F15" w:rsidRDefault="001E05BD" w:rsidP="00DC3EDD">
            <w:pPr>
              <w:spacing w:before="20" w:after="20" w:line="240" w:lineRule="auto"/>
              <w:rPr>
                <w:i/>
                <w:sz w:val="20"/>
                <w:szCs w:val="20"/>
              </w:rPr>
            </w:pPr>
            <w:r>
              <w:rPr>
                <w:i/>
                <w:sz w:val="20"/>
                <w:szCs w:val="20"/>
              </w:rPr>
              <w:t>SVO.SC.M</w:t>
            </w:r>
          </w:p>
        </w:tc>
        <w:tc>
          <w:tcPr>
            <w:tcW w:w="6945" w:type="dxa"/>
          </w:tcPr>
          <w:p w14:paraId="5F818A07" w14:textId="4E859E6C" w:rsidR="001E05BD" w:rsidRPr="00652F15" w:rsidRDefault="001E05BD" w:rsidP="00DC3EDD">
            <w:pPr>
              <w:spacing w:before="20" w:after="20" w:line="240" w:lineRule="auto"/>
              <w:rPr>
                <w:sz w:val="20"/>
                <w:szCs w:val="20"/>
              </w:rPr>
            </w:pPr>
            <w:r>
              <w:rPr>
                <w:sz w:val="20"/>
                <w:szCs w:val="20"/>
              </w:rPr>
              <w:t>Semi-vertical Open</w:t>
            </w:r>
            <w:r w:rsidR="00842984">
              <w:rPr>
                <w:sz w:val="20"/>
                <w:szCs w:val="20"/>
              </w:rPr>
              <w:t>, Self-Contained Commercial Refrigerators without Doors</w:t>
            </w:r>
          </w:p>
        </w:tc>
      </w:tr>
      <w:tr w:rsidR="001E05BD" w14:paraId="370498FB" w14:textId="77777777" w:rsidTr="0017286B">
        <w:tc>
          <w:tcPr>
            <w:tcW w:w="2405" w:type="dxa"/>
          </w:tcPr>
          <w:p w14:paraId="2E6D509E" w14:textId="4D1773AE" w:rsidR="001E05BD" w:rsidRDefault="001E05BD" w:rsidP="00DC3EDD">
            <w:pPr>
              <w:spacing w:before="20" w:after="20" w:line="240" w:lineRule="auto"/>
              <w:rPr>
                <w:i/>
                <w:sz w:val="20"/>
                <w:szCs w:val="20"/>
              </w:rPr>
            </w:pPr>
            <w:r>
              <w:rPr>
                <w:i/>
                <w:sz w:val="20"/>
                <w:szCs w:val="20"/>
              </w:rPr>
              <w:t>VOP.SC.M</w:t>
            </w:r>
          </w:p>
        </w:tc>
        <w:tc>
          <w:tcPr>
            <w:tcW w:w="6945" w:type="dxa"/>
          </w:tcPr>
          <w:p w14:paraId="32BA7AC5" w14:textId="51A327F0" w:rsidR="001E05BD" w:rsidRPr="00652F15" w:rsidRDefault="00842984" w:rsidP="00DC3EDD">
            <w:pPr>
              <w:spacing w:before="20" w:after="20" w:line="240" w:lineRule="auto"/>
              <w:rPr>
                <w:sz w:val="20"/>
                <w:szCs w:val="20"/>
              </w:rPr>
            </w:pPr>
            <w:r>
              <w:rPr>
                <w:sz w:val="20"/>
                <w:szCs w:val="20"/>
              </w:rPr>
              <w:t>Vertical Open, Self-Contained Commercial Refrigerator without Doors</w:t>
            </w:r>
          </w:p>
        </w:tc>
      </w:tr>
    </w:tbl>
    <w:p w14:paraId="416A99DC" w14:textId="77777777" w:rsidR="00E74646" w:rsidRPr="00E74646" w:rsidRDefault="00E74646" w:rsidP="00E74646"/>
    <w:p w14:paraId="319D6198" w14:textId="77777777" w:rsidR="00A204EF" w:rsidRPr="00303AAF" w:rsidRDefault="00A204EF" w:rsidP="00D1255F">
      <w:pPr>
        <w:keepNext/>
        <w:keepLines/>
        <w:rPr>
          <w:rFonts w:cstheme="minorHAnsi"/>
          <w:szCs w:val="22"/>
        </w:rPr>
      </w:pPr>
      <w:r w:rsidRPr="00302F60">
        <w:rPr>
          <w:rFonts w:cstheme="minorHAnsi"/>
          <w:szCs w:val="22"/>
        </w:rPr>
        <w:t xml:space="preserve">To </w:t>
      </w:r>
      <w:r w:rsidRPr="00303AAF">
        <w:rPr>
          <w:rFonts w:cstheme="minorHAnsi"/>
          <w:szCs w:val="22"/>
        </w:rPr>
        <w:t>qualify for incentive, the following requirements must be met:</w:t>
      </w:r>
    </w:p>
    <w:p w14:paraId="7DB5C16F" w14:textId="496ECC5A" w:rsidR="00A204EF" w:rsidRPr="0017286B" w:rsidRDefault="00A204EF">
      <w:pPr>
        <w:pStyle w:val="eTRMBulletedText"/>
        <w:rPr>
          <w:i/>
          <w:color w:val="191919" w:themeColor="text1"/>
          <w:szCs w:val="22"/>
        </w:rPr>
      </w:pPr>
      <w:r w:rsidRPr="0017286B">
        <w:t xml:space="preserve">Must purchase a high efficiency display case, with a rated daily energy consumption (DEC) </w:t>
      </w:r>
      <w:r w:rsidR="000F2DAB">
        <w:rPr>
          <w:szCs w:val="22"/>
        </w:rPr>
        <w:t xml:space="preserve">that is </w:t>
      </w:r>
      <w:r w:rsidR="0054239C" w:rsidRPr="0017286B">
        <w:rPr>
          <w:szCs w:val="22"/>
        </w:rPr>
        <w:t>the prescribed percentage efficiency at least above</w:t>
      </w:r>
      <w:r w:rsidRPr="0017286B">
        <w:t xml:space="preserve"> the Maximum Daily Energy Consumption (MDEC) permissible under the </w:t>
      </w:r>
      <w:r w:rsidRPr="0017286B">
        <w:rPr>
          <w:szCs w:val="20"/>
        </w:rPr>
        <w:t>Code of Federal Regulations, effective March 27, 2017</w:t>
      </w:r>
      <w:r w:rsidRPr="0017286B">
        <w:t>.</w:t>
      </w:r>
      <w:r w:rsidR="00B3155C">
        <w:t xml:space="preserve"> Display case specification must be provided to support this requirement. </w:t>
      </w:r>
    </w:p>
    <w:p w14:paraId="127B1CF8" w14:textId="77777777" w:rsidR="00B3155C" w:rsidRDefault="00B3155C" w:rsidP="008E6837">
      <w:pPr>
        <w:spacing w:before="0" w:after="60" w:line="240" w:lineRule="auto"/>
        <w:rPr>
          <w:rFonts w:cstheme="minorHAnsi"/>
          <w:color w:val="191919" w:themeColor="text1"/>
        </w:rPr>
      </w:pPr>
    </w:p>
    <w:p w14:paraId="39AFF76B" w14:textId="545807C4" w:rsidR="008E6837" w:rsidRPr="006930CA" w:rsidRDefault="000F7A17" w:rsidP="008E6837">
      <w:pPr>
        <w:spacing w:before="0" w:after="60" w:line="240" w:lineRule="auto"/>
        <w:rPr>
          <w:rFonts w:cstheme="minorHAnsi"/>
          <w:i/>
          <w:color w:val="191919" w:themeColor="text1"/>
        </w:rPr>
      </w:pPr>
      <w:r w:rsidRPr="00303AAF">
        <w:rPr>
          <w:rFonts w:cstheme="minorHAnsi"/>
          <w:color w:val="191919" w:themeColor="text1"/>
        </w:rPr>
        <w:t>Tw</w:t>
      </w:r>
      <w:r>
        <w:rPr>
          <w:rFonts w:cstheme="minorHAnsi"/>
          <w:color w:val="191919" w:themeColor="text1"/>
        </w:rPr>
        <w:t>o sources for the display case specification are:</w:t>
      </w:r>
    </w:p>
    <w:p w14:paraId="2EB39C70" w14:textId="77777777" w:rsidR="008E6837" w:rsidRDefault="008E6837">
      <w:pPr>
        <w:pStyle w:val="eTRMBulletedText"/>
      </w:pPr>
      <w:r w:rsidRPr="00496545">
        <w:lastRenderedPageBreak/>
        <w:t>U. S. Department of Energy</w:t>
      </w:r>
      <w:r w:rsidR="000F7A17">
        <w:t xml:space="preserve"> (DOE)</w:t>
      </w:r>
      <w:r w:rsidRPr="00496545">
        <w:t xml:space="preserve"> Compliance Certification Database</w:t>
      </w:r>
      <w:r w:rsidR="00035105">
        <w:t>.</w:t>
      </w:r>
      <w:r w:rsidR="00035105">
        <w:rPr>
          <w:rStyle w:val="FootnoteReference"/>
        </w:rPr>
        <w:footnoteReference w:id="8"/>
      </w:r>
      <w:r w:rsidR="00035105">
        <w:t xml:space="preserve"> See</w:t>
      </w:r>
      <w:r w:rsidRPr="00496545">
        <w:t xml:space="preserve"> </w:t>
      </w:r>
      <w:r>
        <w:t>the Product Group of “</w:t>
      </w:r>
      <w:r w:rsidRPr="002A10B0">
        <w:t>Refrigeration Equipment - Commercial, Single Compartment</w:t>
      </w:r>
      <w:r>
        <w:t xml:space="preserve">”. The specification includes the following certified values: </w:t>
      </w:r>
      <w:r w:rsidR="000F7A17">
        <w:t>b</w:t>
      </w:r>
      <w:r>
        <w:t xml:space="preserve">rand name and model number, equipment category description and condensing unit configuration description, total display area (TDA) or volume, and calculated MDEC. </w:t>
      </w:r>
    </w:p>
    <w:p w14:paraId="0267B6A3" w14:textId="77777777" w:rsidR="008E6837" w:rsidRDefault="008E6837">
      <w:pPr>
        <w:pStyle w:val="eTRMBulletedText"/>
      </w:pPr>
      <w:r w:rsidRPr="000857C4">
        <w:t>ENERGY STAR Certified Commercial Refrigerators and Freezers database</w:t>
      </w:r>
      <w:r w:rsidR="00035105">
        <w:t>.</w:t>
      </w:r>
      <w:r w:rsidR="00035105">
        <w:rPr>
          <w:rStyle w:val="FootnoteReference"/>
        </w:rPr>
        <w:footnoteReference w:id="9"/>
      </w:r>
      <w:r w:rsidR="00035105">
        <w:t xml:space="preserve"> </w:t>
      </w:r>
      <w:r w:rsidRPr="000857C4">
        <w:t xml:space="preserve"> </w:t>
      </w:r>
      <w:r>
        <w:t xml:space="preserve">The specification includes the following certified values: </w:t>
      </w:r>
      <w:r w:rsidR="000F7A17">
        <w:t>b</w:t>
      </w:r>
      <w:r>
        <w:t>rand name and model number, equipment category description and condensing unit configuration description, total display area (TDA) or volume, and calculated MDEC</w:t>
      </w:r>
    </w:p>
    <w:p w14:paraId="367DFD04" w14:textId="77777777" w:rsidR="008E6837" w:rsidRDefault="000F7A17">
      <w:pPr>
        <w:pStyle w:val="eTRMBulletedText"/>
      </w:pPr>
      <w:r>
        <w:t>M</w:t>
      </w:r>
      <w:r w:rsidR="008E6837" w:rsidRPr="001034C9">
        <w:t>anufacturer specification</w:t>
      </w:r>
      <w:r w:rsidR="002D1F8A">
        <w:t>s that</w:t>
      </w:r>
      <w:r w:rsidR="008E6837" w:rsidRPr="001034C9">
        <w:t xml:space="preserve"> </w:t>
      </w:r>
      <w:proofErr w:type="gramStart"/>
      <w:r w:rsidR="008E6837" w:rsidRPr="001034C9">
        <w:t>include:</w:t>
      </w:r>
      <w:proofErr w:type="gramEnd"/>
      <w:r w:rsidR="008E6837" w:rsidRPr="001034C9">
        <w:t xml:space="preserve"> </w:t>
      </w:r>
      <w:r>
        <w:t>b</w:t>
      </w:r>
      <w:r w:rsidR="008E6837" w:rsidRPr="001034C9">
        <w:t>rand name and model number, equipment category description and condensing unit configuration description, total display area (TDA) or volume, and tested MDEC</w:t>
      </w:r>
    </w:p>
    <w:p w14:paraId="1A604418" w14:textId="77777777" w:rsidR="008E6837" w:rsidRPr="00E873BC" w:rsidRDefault="008E6837" w:rsidP="008E6837">
      <w:pPr>
        <w:rPr>
          <w:i/>
          <w:color w:val="191919" w:themeColor="text1"/>
          <w:szCs w:val="22"/>
        </w:rPr>
      </w:pPr>
      <w:r>
        <w:t xml:space="preserve">Documentation of the </w:t>
      </w:r>
      <w:r w:rsidRPr="000F7A17">
        <w:rPr>
          <w:i/>
        </w:rPr>
        <w:t>existing condition</w:t>
      </w:r>
      <w:r>
        <w:t xml:space="preserve"> must include model number(s), serial number(s), or other information </w:t>
      </w:r>
      <w:proofErr w:type="gramStart"/>
      <w:r>
        <w:t>sufficient</w:t>
      </w:r>
      <w:proofErr w:type="gramEnd"/>
      <w:r>
        <w:t xml:space="preserve"> to show </w:t>
      </w:r>
      <w:r w:rsidR="000F7A17">
        <w:t xml:space="preserve">a </w:t>
      </w:r>
      <w:r>
        <w:t xml:space="preserve">manufacture date </w:t>
      </w:r>
      <w:r w:rsidRPr="000F7A17">
        <w:rPr>
          <w:i/>
        </w:rPr>
        <w:t>before</w:t>
      </w:r>
      <w:r>
        <w:t xml:space="preserve"> March 27, 2017. </w:t>
      </w:r>
    </w:p>
    <w:p w14:paraId="11612596" w14:textId="77777777" w:rsidR="007B6A74" w:rsidRDefault="007B6A74" w:rsidP="00401C43">
      <w:pPr>
        <w:pStyle w:val="eTRMHeading5"/>
      </w:pPr>
      <w:r w:rsidRPr="00401C43">
        <w:t>Eligible Building Types</w:t>
      </w:r>
    </w:p>
    <w:p w14:paraId="56EBA45D" w14:textId="0E714525" w:rsidR="00B95494" w:rsidRDefault="00B95494" w:rsidP="00B95494">
      <w:r w:rsidRPr="0052121E">
        <w:t xml:space="preserve">This measure is applicable for any commercial </w:t>
      </w:r>
      <w:r>
        <w:t>building type</w:t>
      </w:r>
      <w:r w:rsidR="00277BA0">
        <w:t>s</w:t>
      </w:r>
      <w:r w:rsidR="007C23C9">
        <w:t>.</w:t>
      </w:r>
    </w:p>
    <w:p w14:paraId="290D5875" w14:textId="77777777" w:rsidR="00660D77" w:rsidRDefault="00660D77" w:rsidP="00B95494"/>
    <w:p w14:paraId="00073DB9" w14:textId="77777777" w:rsidR="007B6A74" w:rsidRPr="004B06E3" w:rsidRDefault="00196649" w:rsidP="00154391">
      <w:pPr>
        <w:pStyle w:val="eTRMHeading5"/>
      </w:pPr>
      <w:r>
        <w:t>Eligible Climate Zones</w:t>
      </w:r>
    </w:p>
    <w:p w14:paraId="30D7A50B" w14:textId="77777777" w:rsidR="00333BC9" w:rsidRDefault="00333BC9" w:rsidP="00333BC9">
      <w:r w:rsidRPr="00333BC9">
        <w:t xml:space="preserve">This measure is applicable </w:t>
      </w:r>
      <w:r>
        <w:t>in all California climate zones.</w:t>
      </w:r>
      <w:r w:rsidRPr="00414960">
        <w:t xml:space="preserve"> </w:t>
      </w:r>
    </w:p>
    <w:p w14:paraId="5BE371BC" w14:textId="77777777" w:rsidR="00660D77" w:rsidRPr="00414960" w:rsidRDefault="00660D77" w:rsidP="00333BC9"/>
    <w:p w14:paraId="3F8F1F80" w14:textId="77777777" w:rsidR="007D230B" w:rsidRPr="004B06E3" w:rsidRDefault="007D230B" w:rsidP="00A01960">
      <w:pPr>
        <w:pStyle w:val="eTRMHeading3"/>
      </w:pPr>
      <w:bookmarkStart w:id="26" w:name="_Toc486490853"/>
      <w:bookmarkStart w:id="27" w:name="_Toc486580924"/>
      <w:bookmarkStart w:id="28" w:name="_Toc56591405"/>
      <w:r w:rsidRPr="004B06E3">
        <w:t>Program Exclusions</w:t>
      </w:r>
      <w:bookmarkEnd w:id="26"/>
      <w:bookmarkEnd w:id="27"/>
      <w:bookmarkEnd w:id="28"/>
      <w:r w:rsidRPr="004B06E3">
        <w:t xml:space="preserve"> </w:t>
      </w:r>
    </w:p>
    <w:p w14:paraId="70B8420C" w14:textId="77777777" w:rsidR="006D4F49" w:rsidRPr="006D4F49" w:rsidRDefault="00CE4DE2" w:rsidP="00F45A34">
      <w:r w:rsidRPr="0017286B">
        <w:t>This measure excludes d</w:t>
      </w:r>
      <w:r w:rsidR="007C23C9" w:rsidRPr="0017286B">
        <w:t xml:space="preserve">isplay cases </w:t>
      </w:r>
      <w:r w:rsidRPr="0017286B">
        <w:t>with a</w:t>
      </w:r>
      <w:r w:rsidR="007C23C9" w:rsidRPr="0017286B">
        <w:t xml:space="preserve"> rated daily energy consumption (DEC) </w:t>
      </w:r>
      <w:r w:rsidRPr="0017286B">
        <w:t xml:space="preserve">that is not </w:t>
      </w:r>
      <w:r w:rsidR="007C23C9" w:rsidRPr="0017286B">
        <w:t xml:space="preserve">at least </w:t>
      </w:r>
      <w:r w:rsidR="0043007A" w:rsidRPr="0017286B">
        <w:t xml:space="preserve">prescribed percentage </w:t>
      </w:r>
      <w:r w:rsidR="007C23C9" w:rsidRPr="0017286B">
        <w:t>less than the Maximum Daily Energy Consumption (MDEC)</w:t>
      </w:r>
      <w:r w:rsidRPr="0017286B">
        <w:t>,</w:t>
      </w:r>
      <w:r w:rsidR="007C23C9" w:rsidRPr="0017286B">
        <w:t xml:space="preserve"> permissible under the </w:t>
      </w:r>
      <w:r w:rsidR="007C23C9" w:rsidRPr="0017286B">
        <w:rPr>
          <w:szCs w:val="20"/>
        </w:rPr>
        <w:t>Code of Federal Regulations, effective March 27, 2017</w:t>
      </w:r>
      <w:r w:rsidR="007C23C9" w:rsidRPr="0017286B">
        <w:t>.</w:t>
      </w:r>
    </w:p>
    <w:p w14:paraId="67CAAA50" w14:textId="77777777" w:rsidR="006F78DB" w:rsidRDefault="00D96CAA" w:rsidP="00F45A34">
      <w:r>
        <w:t>N</w:t>
      </w:r>
      <w:r w:rsidR="006F78DB" w:rsidRPr="006F78DB">
        <w:t>ational chain supermarket or national chain convenience store</w:t>
      </w:r>
      <w:r>
        <w:t xml:space="preserve">s are not eligible </w:t>
      </w:r>
      <w:r w:rsidR="006F78DB" w:rsidRPr="006F78DB">
        <w:t xml:space="preserve">for the 2012 baseline. </w:t>
      </w:r>
    </w:p>
    <w:p w14:paraId="64F4A4E3" w14:textId="77777777" w:rsidR="00660D77" w:rsidRPr="006F78DB" w:rsidRDefault="00660D77" w:rsidP="006F78DB">
      <w:pPr>
        <w:spacing w:before="0" w:after="60" w:line="240" w:lineRule="auto"/>
        <w:ind w:left="570"/>
        <w:rPr>
          <w:rFonts w:cstheme="minorHAnsi"/>
          <w:i/>
          <w:color w:val="191919" w:themeColor="text1"/>
          <w:szCs w:val="22"/>
        </w:rPr>
      </w:pPr>
    </w:p>
    <w:p w14:paraId="186692E7" w14:textId="77777777" w:rsidR="007D230B" w:rsidRDefault="007D230B" w:rsidP="00A01960">
      <w:pPr>
        <w:pStyle w:val="eTRMHeading3"/>
      </w:pPr>
      <w:bookmarkStart w:id="29" w:name="_Toc486490854"/>
      <w:bookmarkStart w:id="30" w:name="_Toc486580925"/>
      <w:bookmarkStart w:id="31" w:name="_Toc56591406"/>
      <w:r w:rsidRPr="004B06E3">
        <w:t>Data Collection Requirements</w:t>
      </w:r>
      <w:bookmarkEnd w:id="29"/>
      <w:bookmarkEnd w:id="30"/>
      <w:bookmarkEnd w:id="31"/>
      <w:r w:rsidRPr="004B06E3">
        <w:t xml:space="preserve"> </w:t>
      </w:r>
    </w:p>
    <w:p w14:paraId="321E53C1" w14:textId="77777777" w:rsidR="00486D77" w:rsidRPr="00C60D84" w:rsidRDefault="00486D77" w:rsidP="00486D77">
      <w:pPr>
        <w:rPr>
          <w:rFonts w:cs="Arial"/>
          <w:szCs w:val="22"/>
        </w:rPr>
      </w:pPr>
      <w:r w:rsidRPr="007206C8">
        <w:rPr>
          <w:rFonts w:cs="Arial"/>
          <w:szCs w:val="22"/>
        </w:rPr>
        <w:t>Based on the manufacturer survey</w:t>
      </w:r>
      <w:r w:rsidR="008E6837">
        <w:rPr>
          <w:rStyle w:val="FootnoteReference"/>
          <w:rFonts w:cs="Arial"/>
          <w:szCs w:val="22"/>
        </w:rPr>
        <w:footnoteReference w:id="10"/>
      </w:r>
      <w:r w:rsidRPr="007206C8">
        <w:rPr>
          <w:rFonts w:cs="Arial"/>
          <w:szCs w:val="22"/>
        </w:rPr>
        <w:t xml:space="preserve"> summarized </w:t>
      </w:r>
      <w:r w:rsidR="00F1394E">
        <w:rPr>
          <w:rFonts w:cs="Arial"/>
          <w:szCs w:val="22"/>
        </w:rPr>
        <w:t>for this measure</w:t>
      </w:r>
      <w:r w:rsidRPr="007206C8">
        <w:rPr>
          <w:rFonts w:cs="Arial"/>
          <w:szCs w:val="22"/>
        </w:rPr>
        <w:t xml:space="preserve">, the </w:t>
      </w:r>
      <w:r w:rsidR="00EF05FE">
        <w:rPr>
          <w:rFonts w:cs="Arial"/>
          <w:szCs w:val="22"/>
        </w:rPr>
        <w:t>U.S. Department of Energy (</w:t>
      </w:r>
      <w:r w:rsidRPr="007206C8">
        <w:rPr>
          <w:rFonts w:cs="Arial"/>
          <w:szCs w:val="22"/>
        </w:rPr>
        <w:t>DOE</w:t>
      </w:r>
      <w:r w:rsidR="00EF05FE">
        <w:rPr>
          <w:rFonts w:cs="Arial"/>
          <w:szCs w:val="22"/>
        </w:rPr>
        <w:t>)</w:t>
      </w:r>
      <w:r w:rsidRPr="007206C8">
        <w:rPr>
          <w:rFonts w:cs="Arial"/>
          <w:szCs w:val="22"/>
        </w:rPr>
        <w:t xml:space="preserve"> a</w:t>
      </w:r>
      <w:r w:rsidRPr="00C60D84">
        <w:rPr>
          <w:rFonts w:cs="Arial"/>
          <w:szCs w:val="22"/>
        </w:rPr>
        <w:t xml:space="preserve">nd </w:t>
      </w:r>
      <w:r w:rsidR="00014D21" w:rsidRPr="00C60D84">
        <w:rPr>
          <w:rFonts w:cs="Arial"/>
          <w:szCs w:val="22"/>
        </w:rPr>
        <w:t xml:space="preserve">ENERGY STAR </w:t>
      </w:r>
      <w:r w:rsidRPr="00C60D84">
        <w:rPr>
          <w:rFonts w:cs="Arial"/>
          <w:szCs w:val="22"/>
        </w:rPr>
        <w:t xml:space="preserve">databases used </w:t>
      </w:r>
      <w:r w:rsidR="00F1394E" w:rsidRPr="00C60D84">
        <w:rPr>
          <w:rFonts w:cs="Arial"/>
          <w:szCs w:val="22"/>
        </w:rPr>
        <w:t>for this measure</w:t>
      </w:r>
      <w:r w:rsidRPr="00C60D84">
        <w:rPr>
          <w:rFonts w:cs="Arial"/>
          <w:szCs w:val="22"/>
        </w:rPr>
        <w:t xml:space="preserve"> accurately represent manufacturer data. </w:t>
      </w:r>
      <w:r w:rsidRPr="0017286B">
        <w:rPr>
          <w:rFonts w:cs="Arial"/>
          <w:szCs w:val="22"/>
        </w:rPr>
        <w:t xml:space="preserve">Since the databases are updated regularly upon manufacturer submission, it is suggested that the DOE and </w:t>
      </w:r>
      <w:r w:rsidR="00014D21" w:rsidRPr="0017286B">
        <w:rPr>
          <w:rFonts w:cs="Arial"/>
          <w:szCs w:val="22"/>
        </w:rPr>
        <w:t>ENERGY STAR</w:t>
      </w:r>
      <w:r w:rsidRPr="0017286B">
        <w:rPr>
          <w:rFonts w:cs="Arial"/>
          <w:szCs w:val="22"/>
        </w:rPr>
        <w:t xml:space="preserve"> databases be reviewed </w:t>
      </w:r>
      <w:r w:rsidR="00652F15" w:rsidRPr="0017286B">
        <w:rPr>
          <w:rFonts w:cs="Arial"/>
          <w:szCs w:val="22"/>
        </w:rPr>
        <w:t xml:space="preserve">periodically </w:t>
      </w:r>
      <w:r w:rsidRPr="0017286B">
        <w:rPr>
          <w:rFonts w:cs="Arial"/>
          <w:szCs w:val="22"/>
        </w:rPr>
        <w:t>for any significant data updates.</w:t>
      </w:r>
      <w:r w:rsidRPr="00C60D84">
        <w:rPr>
          <w:rFonts w:cs="Arial"/>
          <w:szCs w:val="22"/>
        </w:rPr>
        <w:t xml:space="preserve">   </w:t>
      </w:r>
    </w:p>
    <w:p w14:paraId="5270AF53" w14:textId="591542D3" w:rsidR="00932D8E" w:rsidRDefault="00486D77" w:rsidP="00CA4B9D">
      <w:bookmarkStart w:id="32" w:name="_Hlk536456867"/>
      <w:bookmarkStart w:id="33" w:name="_Hlk497119188"/>
      <w:r w:rsidRPr="0017286B">
        <w:rPr>
          <w:rFonts w:cs="Arial"/>
          <w:szCs w:val="22"/>
        </w:rPr>
        <w:t xml:space="preserve">The 2017 </w:t>
      </w:r>
      <w:r w:rsidR="00761E3F" w:rsidRPr="0017286B">
        <w:rPr>
          <w:rFonts w:cs="Arial"/>
          <w:szCs w:val="22"/>
        </w:rPr>
        <w:t xml:space="preserve">Code of Federal Regulations </w:t>
      </w:r>
      <w:r w:rsidRPr="0017286B">
        <w:rPr>
          <w:rFonts w:cs="Arial"/>
          <w:szCs w:val="22"/>
        </w:rPr>
        <w:t>provides standard</w:t>
      </w:r>
      <w:r w:rsidR="00761E3F" w:rsidRPr="0017286B">
        <w:rPr>
          <w:rFonts w:cs="Arial"/>
          <w:szCs w:val="22"/>
        </w:rPr>
        <w:t>s</w:t>
      </w:r>
      <w:r w:rsidRPr="0017286B">
        <w:rPr>
          <w:rFonts w:cs="Arial"/>
          <w:szCs w:val="22"/>
        </w:rPr>
        <w:t xml:space="preserve"> for a total of 49 equipment classes</w:t>
      </w:r>
      <w:r w:rsidR="00CA4B9D" w:rsidRPr="0017286B">
        <w:rPr>
          <w:rFonts w:cs="Arial"/>
          <w:szCs w:val="22"/>
        </w:rPr>
        <w:t xml:space="preserve"> of which </w:t>
      </w:r>
      <w:r w:rsidR="0034250F">
        <w:t>1</w:t>
      </w:r>
      <w:r w:rsidR="00C2049B">
        <w:t>8</w:t>
      </w:r>
      <w:r w:rsidR="00842984" w:rsidRPr="0017286B">
        <w:t xml:space="preserve"> </w:t>
      </w:r>
      <w:r w:rsidRPr="0017286B">
        <w:t xml:space="preserve">case classes are included </w:t>
      </w:r>
      <w:r w:rsidR="00652F15" w:rsidRPr="0017286B">
        <w:t>in this measure</w:t>
      </w:r>
      <w:r w:rsidR="00CA4B9D" w:rsidRPr="0017286B">
        <w:t xml:space="preserve">. </w:t>
      </w:r>
      <w:r w:rsidR="00652F15" w:rsidRPr="0017286B">
        <w:t xml:space="preserve">As of </w:t>
      </w:r>
      <w:r w:rsidR="00842984" w:rsidRPr="0017286B">
        <w:t xml:space="preserve">November </w:t>
      </w:r>
      <w:r w:rsidR="00652F15" w:rsidRPr="0017286B">
        <w:t xml:space="preserve">4, </w:t>
      </w:r>
      <w:r w:rsidR="00842984" w:rsidRPr="0017286B">
        <w:t>2020</w:t>
      </w:r>
      <w:r w:rsidR="00652F15" w:rsidRPr="0017286B">
        <w:t>, t</w:t>
      </w:r>
      <w:r w:rsidR="003012FF" w:rsidRPr="0017286B">
        <w:t xml:space="preserve">hese </w:t>
      </w:r>
      <w:r w:rsidR="0034250F">
        <w:t>1</w:t>
      </w:r>
      <w:r w:rsidR="00C2049B">
        <w:t>8</w:t>
      </w:r>
      <w:r w:rsidR="00842984" w:rsidRPr="0017286B">
        <w:t xml:space="preserve"> </w:t>
      </w:r>
      <w:r w:rsidR="00652F15" w:rsidRPr="0017286B">
        <w:t>case classes</w:t>
      </w:r>
      <w:r w:rsidR="003012FF" w:rsidRPr="0017286B">
        <w:t xml:space="preserve"> account of </w:t>
      </w:r>
      <w:r w:rsidR="00842984" w:rsidRPr="0017286B">
        <w:t>94</w:t>
      </w:r>
      <w:r w:rsidR="003012FF" w:rsidRPr="0017286B">
        <w:t xml:space="preserve">% of </w:t>
      </w:r>
      <w:r w:rsidR="00842984" w:rsidRPr="0017286B">
        <w:t xml:space="preserve">25,963 </w:t>
      </w:r>
      <w:r w:rsidR="005E57D7" w:rsidRPr="0017286B">
        <w:t xml:space="preserve">products listed in </w:t>
      </w:r>
      <w:r w:rsidR="00761E3F" w:rsidRPr="0017286B">
        <w:t xml:space="preserve">the U.S. Department of Energy (DOE) </w:t>
      </w:r>
      <w:r w:rsidR="00D96CAA" w:rsidRPr="0017286B">
        <w:t xml:space="preserve">Compliance Certification </w:t>
      </w:r>
      <w:r w:rsidR="005E57D7" w:rsidRPr="0017286B">
        <w:t>database</w:t>
      </w:r>
      <w:r w:rsidR="00932D8E" w:rsidRPr="0017286B">
        <w:t xml:space="preserve">. </w:t>
      </w:r>
      <w:r w:rsidR="00652F15" w:rsidRPr="0017286B">
        <w:lastRenderedPageBreak/>
        <w:t xml:space="preserve">Future updates to this measure should consider incorporating </w:t>
      </w:r>
      <w:r w:rsidR="00932D8E" w:rsidRPr="0017286B">
        <w:t xml:space="preserve">DOE </w:t>
      </w:r>
      <w:r w:rsidR="000977AD" w:rsidRPr="0017286B">
        <w:t>database</w:t>
      </w:r>
      <w:r w:rsidR="00652F15" w:rsidRPr="0017286B">
        <w:t xml:space="preserve"> updates</w:t>
      </w:r>
      <w:r w:rsidR="000977AD" w:rsidRPr="0017286B">
        <w:t xml:space="preserve"> </w:t>
      </w:r>
      <w:r w:rsidR="008F73D8" w:rsidRPr="0017286B">
        <w:t>with significant representation from the</w:t>
      </w:r>
      <w:r w:rsidR="003E3697" w:rsidRPr="0017286B">
        <w:t xml:space="preserve"> remaining</w:t>
      </w:r>
      <w:r w:rsidR="008F73D8" w:rsidRPr="0017286B">
        <w:t xml:space="preserve"> </w:t>
      </w:r>
      <w:r w:rsidR="00842984" w:rsidRPr="0017286B">
        <w:t xml:space="preserve">31 </w:t>
      </w:r>
      <w:r w:rsidR="008F73D8" w:rsidRPr="0017286B">
        <w:t>case classes</w:t>
      </w:r>
      <w:r w:rsidR="002C206B" w:rsidRPr="0017286B">
        <w:t>.</w:t>
      </w:r>
      <w:r w:rsidR="002C206B">
        <w:t xml:space="preserve"> </w:t>
      </w:r>
      <w:r w:rsidR="003702B4">
        <w:t xml:space="preserve">  </w:t>
      </w:r>
    </w:p>
    <w:bookmarkEnd w:id="32"/>
    <w:bookmarkEnd w:id="33"/>
    <w:p w14:paraId="4802F7E4" w14:textId="77777777" w:rsidR="00F45A34" w:rsidRPr="008A48F8" w:rsidRDefault="00F45A34" w:rsidP="00486D77">
      <w:pPr>
        <w:rPr>
          <w:rFonts w:cs="Arial"/>
          <w:szCs w:val="22"/>
        </w:rPr>
      </w:pPr>
    </w:p>
    <w:p w14:paraId="34ECBF85" w14:textId="77777777" w:rsidR="007D230B" w:rsidRDefault="007D230B" w:rsidP="00A01960">
      <w:pPr>
        <w:pStyle w:val="eTRMHeading3"/>
      </w:pPr>
      <w:bookmarkStart w:id="34" w:name="_Toc486490855"/>
      <w:bookmarkStart w:id="35" w:name="_Toc486580926"/>
      <w:bookmarkStart w:id="36" w:name="_Toc56591407"/>
      <w:r w:rsidRPr="004B06E3">
        <w:t>Use Category</w:t>
      </w:r>
      <w:bookmarkEnd w:id="34"/>
      <w:bookmarkEnd w:id="35"/>
      <w:bookmarkEnd w:id="36"/>
    </w:p>
    <w:p w14:paraId="797C150C" w14:textId="77777777" w:rsidR="00486D77" w:rsidRDefault="00486D77" w:rsidP="00486D77">
      <w:r>
        <w:t>Com</w:t>
      </w:r>
      <w:r w:rsidR="00666A7D">
        <w:t>mercial r</w:t>
      </w:r>
      <w:r>
        <w:t>efrig</w:t>
      </w:r>
      <w:r w:rsidR="00666A7D">
        <w:t>eration</w:t>
      </w:r>
    </w:p>
    <w:p w14:paraId="2840755B" w14:textId="77777777" w:rsidR="00660D77" w:rsidRPr="004B06E3" w:rsidRDefault="00660D77" w:rsidP="00486D77"/>
    <w:p w14:paraId="4BE2F19C" w14:textId="77777777" w:rsidR="007D230B" w:rsidRPr="004B06E3" w:rsidRDefault="007D230B" w:rsidP="00A01960">
      <w:pPr>
        <w:pStyle w:val="eTRMHeading3"/>
      </w:pPr>
      <w:bookmarkStart w:id="37" w:name="_Toc486490857"/>
      <w:bookmarkStart w:id="38" w:name="_Toc486580928"/>
      <w:bookmarkStart w:id="39" w:name="_Toc56591408"/>
      <w:r w:rsidRPr="004B06E3">
        <w:t>Electric Savings</w:t>
      </w:r>
      <w:r w:rsidR="00245AFF" w:rsidRPr="004B06E3">
        <w:t xml:space="preserve"> (</w:t>
      </w:r>
      <w:r w:rsidR="00E14349" w:rsidRPr="00666A7D">
        <w:rPr>
          <w:caps w:val="0"/>
        </w:rPr>
        <w:t>k</w:t>
      </w:r>
      <w:r w:rsidR="00245AFF" w:rsidRPr="00666A7D">
        <w:rPr>
          <w:caps w:val="0"/>
        </w:rPr>
        <w:t>Wh</w:t>
      </w:r>
      <w:r w:rsidR="00245AFF" w:rsidRPr="004B06E3">
        <w:t>)</w:t>
      </w:r>
      <w:bookmarkEnd w:id="37"/>
      <w:bookmarkEnd w:id="38"/>
      <w:bookmarkEnd w:id="39"/>
    </w:p>
    <w:p w14:paraId="5C5BC76F" w14:textId="799C8526" w:rsidR="004F6C25" w:rsidRPr="009640FE" w:rsidRDefault="004F6C25" w:rsidP="0083196F">
      <w:r w:rsidRPr="0017286B">
        <w:t xml:space="preserve">Performance and specifications of </w:t>
      </w:r>
      <w:r w:rsidR="00A970CE" w:rsidRPr="0017286B">
        <w:t>25</w:t>
      </w:r>
      <w:r w:rsidR="00B02061" w:rsidRPr="0017286B">
        <w:t>,</w:t>
      </w:r>
      <w:r w:rsidR="00A970CE" w:rsidRPr="0017286B">
        <w:t xml:space="preserve">963 </w:t>
      </w:r>
      <w:r w:rsidRPr="0017286B">
        <w:t xml:space="preserve">display cases were extracted from </w:t>
      </w:r>
      <w:r w:rsidR="001F39AC" w:rsidRPr="0017286B">
        <w:t xml:space="preserve">the Refrigeration Equipment </w:t>
      </w:r>
      <w:r w:rsidR="00902229" w:rsidRPr="0017286B">
        <w:t>database of the U.S. Department of Energy (</w:t>
      </w:r>
      <w:r w:rsidRPr="0017286B">
        <w:t>DOE</w:t>
      </w:r>
      <w:r w:rsidR="00902229" w:rsidRPr="0017286B">
        <w:t xml:space="preserve">) </w:t>
      </w:r>
      <w:r w:rsidR="00D96CAA" w:rsidRPr="0017286B">
        <w:t>Compliance Certification Database</w:t>
      </w:r>
      <w:r w:rsidR="00D9099D">
        <w:rPr>
          <w:rStyle w:val="FootnoteReference"/>
        </w:rPr>
        <w:footnoteReference w:id="11"/>
      </w:r>
      <w:r w:rsidR="00B02061" w:rsidRPr="0017286B">
        <w:rPr>
          <w:rStyle w:val="FootnoteReference"/>
        </w:rPr>
        <w:footnoteReference w:id="12"/>
      </w:r>
      <w:r w:rsidRPr="0017286B">
        <w:t xml:space="preserve"> </w:t>
      </w:r>
      <w:r w:rsidR="00666A7D" w:rsidRPr="0017286B">
        <w:t>to derive</w:t>
      </w:r>
      <w:r w:rsidRPr="0017286B">
        <w:t xml:space="preserve"> the </w:t>
      </w:r>
      <w:r w:rsidR="00666A7D" w:rsidRPr="0017286B">
        <w:t xml:space="preserve">unit </w:t>
      </w:r>
      <w:r w:rsidRPr="0017286B">
        <w:t xml:space="preserve">energy savings </w:t>
      </w:r>
      <w:r w:rsidR="00666A7D" w:rsidRPr="0017286B">
        <w:t xml:space="preserve">(UES) </w:t>
      </w:r>
      <w:r w:rsidRPr="0017286B">
        <w:t xml:space="preserve">of this </w:t>
      </w:r>
      <w:r w:rsidR="003D03FA" w:rsidRPr="0017286B">
        <w:t>measure</w:t>
      </w:r>
      <w:r w:rsidRPr="0017286B">
        <w:t>.</w:t>
      </w:r>
    </w:p>
    <w:p w14:paraId="17A67FD7" w14:textId="77777777" w:rsidR="004F6C25" w:rsidRPr="009640FE" w:rsidRDefault="004F6C25" w:rsidP="0083196F">
      <w:r w:rsidRPr="009640FE">
        <w:t>An example of data evaluation of VOP.RC.M is presented in the following:</w:t>
      </w:r>
    </w:p>
    <w:p w14:paraId="698328F4" w14:textId="06A1449C" w:rsidR="004F6C25" w:rsidRPr="009640FE" w:rsidRDefault="004F6C25">
      <w:pPr>
        <w:pStyle w:val="eTRMBulletedText"/>
      </w:pPr>
      <w:r w:rsidRPr="009640FE">
        <w:t xml:space="preserve">A total of </w:t>
      </w:r>
      <w:r w:rsidR="00A970CE">
        <w:t xml:space="preserve">3,806 </w:t>
      </w:r>
      <w:r w:rsidRPr="009640FE">
        <w:t xml:space="preserve">VOP.RC.M display cases with different makes and models were extracted from the DOE database. </w:t>
      </w:r>
    </w:p>
    <w:p w14:paraId="67C70E47" w14:textId="15BD4FE5" w:rsidR="00BC37DA" w:rsidRDefault="00BC37DA">
      <w:pPr>
        <w:pStyle w:val="eTRMBulletedText"/>
      </w:pPr>
      <w:r w:rsidRPr="009640FE">
        <w:t xml:space="preserve">Based </w:t>
      </w:r>
      <w:r w:rsidRPr="00C60D84">
        <w:t xml:space="preserve">on the reported daily energy consumption (DEC) and total display area (TDA) rating, and the 2017 code baseline MDEC equation, </w:t>
      </w:r>
      <w:r w:rsidR="00A970CE" w:rsidRPr="00C60D84">
        <w:t>3,606</w:t>
      </w:r>
      <w:r w:rsidRPr="00C60D84">
        <w:t xml:space="preserve"> of the </w:t>
      </w:r>
      <w:r w:rsidR="00A970CE" w:rsidRPr="00C60D84">
        <w:t>3,806</w:t>
      </w:r>
      <w:r w:rsidRPr="00C60D84">
        <w:t xml:space="preserve"> cases </w:t>
      </w:r>
      <w:r w:rsidRPr="0017286B">
        <w:t>(</w:t>
      </w:r>
      <w:r w:rsidR="00A970CE" w:rsidRPr="0017286B">
        <w:t>95</w:t>
      </w:r>
      <w:r w:rsidRPr="0017286B">
        <w:t xml:space="preserve">%) </w:t>
      </w:r>
      <w:r w:rsidR="002D1F8A" w:rsidRPr="0017286B">
        <w:t>were determined</w:t>
      </w:r>
      <w:r w:rsidRPr="0017286B">
        <w:t xml:space="preserve"> to be more efficient than the 2017 federal code baseline with an overall average of </w:t>
      </w:r>
      <w:r w:rsidR="00A970CE" w:rsidRPr="0017286B">
        <w:t>16</w:t>
      </w:r>
      <w:r w:rsidRPr="0017286B">
        <w:t xml:space="preserve">% lower </w:t>
      </w:r>
      <w:r w:rsidR="00995939" w:rsidRPr="0017286B">
        <w:t>DEC</w:t>
      </w:r>
      <w:r w:rsidRPr="00C60D84">
        <w:t>.</w:t>
      </w:r>
      <w:r w:rsidR="00C763E6">
        <w:t xml:space="preserve"> The 16% was based on the following:</w:t>
      </w:r>
    </w:p>
    <w:p w14:paraId="764A64FB" w14:textId="1E3F98D6" w:rsidR="00C763E6" w:rsidRDefault="00C763E6" w:rsidP="00372BAA">
      <w:pPr>
        <w:pStyle w:val="eTRMBulletedText"/>
      </w:pPr>
    </w:p>
    <w:p w14:paraId="3C97E436" w14:textId="09CAF312" w:rsidR="007D1C6D" w:rsidRPr="009676EE" w:rsidRDefault="0056560F" w:rsidP="00372BAA">
      <w:pPr>
        <w:pStyle w:val="eTRMBulletedText"/>
        <w:rPr>
          <w:sz w:val="24"/>
        </w:rPr>
      </w:pPr>
      <m:oMathPara>
        <m:oMath>
          <m:r>
            <w:rPr>
              <w:rFonts w:ascii="Cambria Math" w:hAnsi="Cambria Math"/>
            </w:rPr>
            <m:t>Product</m:t>
          </m:r>
          <m:r>
            <m:rPr>
              <m:sty m:val="p"/>
            </m:rPr>
            <w:rPr>
              <w:rFonts w:ascii="Cambria Math" w:hAnsi="Cambria Math"/>
            </w:rPr>
            <m:t> </m:t>
          </m:r>
          <m:r>
            <w:rPr>
              <w:rFonts w:ascii="Cambria Math" w:hAnsi="Cambria Math"/>
            </w:rPr>
            <m:t>performance</m:t>
          </m:r>
          <m:r>
            <m:rPr>
              <m:sty m:val="p"/>
            </m:rPr>
            <w:rPr>
              <w:rFonts w:ascii="Cambria Math" w:hAnsi="Cambria Math"/>
            </w:rPr>
            <m:t> </m:t>
          </m:r>
          <m:r>
            <w:rPr>
              <w:rFonts w:ascii="Cambria Math" w:hAnsi="Cambria Math"/>
            </w:rPr>
            <m:t>scor</m:t>
          </m:r>
          <m:sSub>
            <m:sSubPr>
              <m:ctrlPr>
                <w:rPr>
                  <w:rFonts w:ascii="Cambria Math" w:hAnsi="Cambria Math"/>
                  <w:sz w:val="24"/>
                </w:rPr>
              </m:ctrlPr>
            </m:sSubPr>
            <m:e>
              <m:r>
                <w:rPr>
                  <w:rFonts w:ascii="Cambria Math" w:hAnsi="Cambria Math"/>
                </w:rPr>
                <m:t>e</m:t>
              </m:r>
            </m:e>
            <m:sub>
              <m:r>
                <w:rPr>
                  <w:rFonts w:ascii="Cambria Math" w:hAnsi="Cambria Math"/>
                </w:rPr>
                <m:t>i</m:t>
              </m:r>
            </m:sub>
          </m:sSub>
          <m:r>
            <m:rPr>
              <m:sty m:val="p"/>
            </m:rPr>
            <w:rPr>
              <w:rFonts w:ascii="Cambria Math" w:hAnsi="Cambria Math"/>
            </w:rPr>
            <m:t>=</m:t>
          </m:r>
          <m:d>
            <m:dPr>
              <m:ctrlPr>
                <w:rPr>
                  <w:rFonts w:ascii="Cambria Math" w:hAnsi="Cambria Math"/>
                  <w:sz w:val="24"/>
                </w:rPr>
              </m:ctrlPr>
            </m:dPr>
            <m:e>
              <m:f>
                <m:fPr>
                  <m:ctrlPr>
                    <w:rPr>
                      <w:rFonts w:ascii="Cambria Math" w:hAnsi="Cambria Math"/>
                      <w:sz w:val="24"/>
                    </w:rPr>
                  </m:ctrlPr>
                </m:fPr>
                <m:num>
                  <m:r>
                    <w:rPr>
                      <w:rFonts w:ascii="Cambria Math" w:hAnsi="Cambria Math"/>
                    </w:rPr>
                    <m:t>MDE</m:t>
                  </m:r>
                  <m:sSub>
                    <m:sSubPr>
                      <m:ctrlPr>
                        <w:rPr>
                          <w:rFonts w:ascii="Cambria Math" w:hAnsi="Cambria Math"/>
                          <w:sz w:val="24"/>
                        </w:rPr>
                      </m:ctrlPr>
                    </m:sSubPr>
                    <m:e>
                      <m:r>
                        <w:rPr>
                          <w:rFonts w:ascii="Cambria Math" w:hAnsi="Cambria Math"/>
                        </w:rPr>
                        <m:t>C</m:t>
                      </m:r>
                    </m:e>
                    <m:sub>
                      <m:r>
                        <w:rPr>
                          <w:rFonts w:ascii="Cambria Math" w:hAnsi="Cambria Math"/>
                        </w:rPr>
                        <m:t>i</m:t>
                      </m:r>
                    </m:sub>
                  </m:sSub>
                  <m:r>
                    <m:rPr>
                      <m:sty m:val="p"/>
                    </m:rPr>
                    <w:rPr>
                      <w:rFonts w:ascii="Cambria Math" w:hAnsi="Cambria Math"/>
                    </w:rPr>
                    <m:t>-</m:t>
                  </m:r>
                  <m:r>
                    <w:rPr>
                      <w:rFonts w:ascii="Cambria Math" w:hAnsi="Cambria Math"/>
                    </w:rPr>
                    <m:t>DE</m:t>
                  </m:r>
                  <m:sSub>
                    <m:sSubPr>
                      <m:ctrlPr>
                        <w:rPr>
                          <w:rFonts w:ascii="Cambria Math" w:hAnsi="Cambria Math"/>
                          <w:sz w:val="24"/>
                        </w:rPr>
                      </m:ctrlPr>
                    </m:sSubPr>
                    <m:e>
                      <m:r>
                        <w:rPr>
                          <w:rFonts w:ascii="Cambria Math" w:hAnsi="Cambria Math"/>
                        </w:rPr>
                        <m:t>C</m:t>
                      </m:r>
                    </m:e>
                    <m:sub>
                      <m:r>
                        <w:rPr>
                          <w:rFonts w:ascii="Cambria Math" w:hAnsi="Cambria Math"/>
                        </w:rPr>
                        <m:t>i</m:t>
                      </m:r>
                    </m:sub>
                  </m:sSub>
                </m:num>
                <m:den>
                  <m:r>
                    <w:rPr>
                      <w:rFonts w:ascii="Cambria Math" w:hAnsi="Cambria Math"/>
                    </w:rPr>
                    <m:t>MDE</m:t>
                  </m:r>
                  <m:sSub>
                    <m:sSubPr>
                      <m:ctrlPr>
                        <w:rPr>
                          <w:rFonts w:ascii="Cambria Math" w:hAnsi="Cambria Math"/>
                          <w:sz w:val="24"/>
                        </w:rPr>
                      </m:ctrlPr>
                    </m:sSubPr>
                    <m:e>
                      <m:r>
                        <w:rPr>
                          <w:rFonts w:ascii="Cambria Math" w:hAnsi="Cambria Math"/>
                        </w:rPr>
                        <m:t>C</m:t>
                      </m:r>
                    </m:e>
                    <m:sub>
                      <m:r>
                        <w:rPr>
                          <w:rFonts w:ascii="Cambria Math" w:hAnsi="Cambria Math"/>
                        </w:rPr>
                        <m:t>i</m:t>
                      </m:r>
                    </m:sub>
                  </m:sSub>
                </m:den>
              </m:f>
            </m:e>
          </m:d>
        </m:oMath>
      </m:oMathPara>
    </w:p>
    <w:p w14:paraId="35788EB5" w14:textId="6D078F5E" w:rsidR="007D1C6D" w:rsidRDefault="007D1C6D" w:rsidP="00372BAA">
      <w:pPr>
        <w:pStyle w:val="eTRMBulletedText"/>
      </w:pPr>
    </w:p>
    <w:p w14:paraId="5613EC47" w14:textId="7DE97E66" w:rsidR="007D1C6D" w:rsidRPr="0056560F" w:rsidRDefault="007D1C6D" w:rsidP="00372BAA">
      <w:pPr>
        <w:pStyle w:val="eTRMBulletedText"/>
      </w:pPr>
      <m:oMathPara>
        <m:oMath>
          <m:r>
            <w:rPr>
              <w:rFonts w:ascii="Cambria Math" w:hAnsi="Cambria Math"/>
            </w:rPr>
            <m:t>Average</m:t>
          </m:r>
          <m:r>
            <m:rPr>
              <m:sty m:val="p"/>
            </m:rPr>
            <w:rPr>
              <w:rFonts w:ascii="Cambria Math" w:hAnsi="Cambria Math"/>
            </w:rPr>
            <m:t> </m:t>
          </m:r>
          <m:r>
            <w:rPr>
              <w:rFonts w:ascii="Cambria Math" w:hAnsi="Cambria Math"/>
            </w:rPr>
            <m:t>score</m:t>
          </m:r>
          <m:r>
            <m:rPr>
              <m:sty m:val="p"/>
            </m:rPr>
            <w:rPr>
              <w:rFonts w:ascii="Cambria Math" w:hAnsi="Cambria Math"/>
            </w:rPr>
            <m:t>=</m:t>
          </m:r>
          <m:f>
            <m:fPr>
              <m:ctrlPr>
                <w:rPr>
                  <w:rFonts w:ascii="Cambria Math" w:hAnsi="Cambria Math"/>
                  <w:sz w:val="24"/>
                </w:rPr>
              </m:ctrlPr>
            </m:fPr>
            <m:num>
              <m:r>
                <m:rPr>
                  <m:sty m:val="p"/>
                </m:rPr>
                <w:rPr>
                  <w:rFonts w:ascii="Cambria Math" w:hAnsi="Cambria Math"/>
                </w:rPr>
                <m:t>1</m:t>
              </m:r>
            </m:num>
            <m:den>
              <m:r>
                <w:rPr>
                  <w:rFonts w:ascii="Cambria Math" w:hAnsi="Cambria Math"/>
                </w:rPr>
                <m:t>k</m:t>
              </m:r>
            </m:den>
          </m:f>
          <m:nary>
            <m:naryPr>
              <m:chr m:val="∑"/>
              <m:ctrlPr>
                <w:rPr>
                  <w:rFonts w:ascii="Cambria Math" w:hAnsi="Cambria Math"/>
                  <w:sz w:val="24"/>
                </w:rPr>
              </m:ctrlPr>
            </m:naryPr>
            <m:sub>
              <m:r>
                <m:rPr>
                  <m:sty m:val="p"/>
                </m:rPr>
                <w:rPr>
                  <w:rFonts w:ascii="Cambria Math" w:hAnsi="Cambria Math"/>
                </w:rPr>
                <m:t>1</m:t>
              </m:r>
            </m:sub>
            <m:sup>
              <m:r>
                <w:rPr>
                  <w:rFonts w:ascii="Cambria Math" w:hAnsi="Cambria Math"/>
                </w:rPr>
                <m:t>k</m:t>
              </m:r>
            </m:sup>
            <m:e>
              <m:d>
                <m:dPr>
                  <m:ctrlPr>
                    <w:rPr>
                      <w:rFonts w:ascii="Cambria Math" w:hAnsi="Cambria Math"/>
                      <w:sz w:val="24"/>
                    </w:rPr>
                  </m:ctrlPr>
                </m:dPr>
                <m:e>
                  <m:f>
                    <m:fPr>
                      <m:ctrlPr>
                        <w:rPr>
                          <w:rFonts w:ascii="Cambria Math" w:hAnsi="Cambria Math"/>
                          <w:sz w:val="24"/>
                        </w:rPr>
                      </m:ctrlPr>
                    </m:fPr>
                    <m:num>
                      <m:r>
                        <w:rPr>
                          <w:rFonts w:ascii="Cambria Math" w:hAnsi="Cambria Math"/>
                        </w:rPr>
                        <m:t>MDE</m:t>
                      </m:r>
                      <m:sSub>
                        <m:sSubPr>
                          <m:ctrlPr>
                            <w:rPr>
                              <w:rFonts w:ascii="Cambria Math" w:hAnsi="Cambria Math"/>
                              <w:sz w:val="24"/>
                            </w:rPr>
                          </m:ctrlPr>
                        </m:sSubPr>
                        <m:e>
                          <m:r>
                            <w:rPr>
                              <w:rFonts w:ascii="Cambria Math" w:hAnsi="Cambria Math"/>
                            </w:rPr>
                            <m:t>C</m:t>
                          </m:r>
                        </m:e>
                        <m:sub>
                          <m:r>
                            <w:rPr>
                              <w:rFonts w:ascii="Cambria Math" w:hAnsi="Cambria Math"/>
                            </w:rPr>
                            <m:t>i</m:t>
                          </m:r>
                        </m:sub>
                      </m:sSub>
                      <m:r>
                        <m:rPr>
                          <m:sty m:val="p"/>
                        </m:rPr>
                        <w:rPr>
                          <w:rFonts w:ascii="Cambria Math" w:hAnsi="Cambria Math"/>
                        </w:rPr>
                        <m:t>-</m:t>
                      </m:r>
                      <m:r>
                        <w:rPr>
                          <w:rFonts w:ascii="Cambria Math" w:hAnsi="Cambria Math"/>
                        </w:rPr>
                        <m:t>DE</m:t>
                      </m:r>
                      <m:sSub>
                        <m:sSubPr>
                          <m:ctrlPr>
                            <w:rPr>
                              <w:rFonts w:ascii="Cambria Math" w:hAnsi="Cambria Math"/>
                              <w:sz w:val="24"/>
                            </w:rPr>
                          </m:ctrlPr>
                        </m:sSubPr>
                        <m:e>
                          <m:r>
                            <w:rPr>
                              <w:rFonts w:ascii="Cambria Math" w:hAnsi="Cambria Math"/>
                            </w:rPr>
                            <m:t>C</m:t>
                          </m:r>
                        </m:e>
                        <m:sub>
                          <m:r>
                            <w:rPr>
                              <w:rFonts w:ascii="Cambria Math" w:hAnsi="Cambria Math"/>
                            </w:rPr>
                            <m:t>i</m:t>
                          </m:r>
                        </m:sub>
                      </m:sSub>
                    </m:num>
                    <m:den>
                      <m:r>
                        <w:rPr>
                          <w:rFonts w:ascii="Cambria Math" w:hAnsi="Cambria Math"/>
                        </w:rPr>
                        <m:t>MDE</m:t>
                      </m:r>
                      <m:sSub>
                        <m:sSubPr>
                          <m:ctrlPr>
                            <w:rPr>
                              <w:rFonts w:ascii="Cambria Math" w:hAnsi="Cambria Math"/>
                              <w:sz w:val="24"/>
                            </w:rPr>
                          </m:ctrlPr>
                        </m:sSubPr>
                        <m:e>
                          <m:r>
                            <w:rPr>
                              <w:rFonts w:ascii="Cambria Math" w:hAnsi="Cambria Math"/>
                            </w:rPr>
                            <m:t>C</m:t>
                          </m:r>
                        </m:e>
                        <m:sub>
                          <m:r>
                            <w:rPr>
                              <w:rFonts w:ascii="Cambria Math" w:hAnsi="Cambria Math"/>
                            </w:rPr>
                            <m:t>i</m:t>
                          </m:r>
                        </m:sub>
                      </m:sSub>
                    </m:den>
                  </m:f>
                </m:e>
              </m:d>
            </m:e>
          </m:nary>
        </m:oMath>
      </m:oMathPara>
    </w:p>
    <w:p w14:paraId="614C239E" w14:textId="15014E7F" w:rsidR="0056560F" w:rsidRPr="00057D9D" w:rsidRDefault="0056560F" w:rsidP="00372BAA">
      <w:pPr>
        <w:pStyle w:val="eTRMBulletedText"/>
      </w:pPr>
      <w:r w:rsidRPr="00057D9D">
        <w:t>Where:</w:t>
      </w:r>
    </w:p>
    <w:p w14:paraId="6E2D1056" w14:textId="0D05FD16" w:rsidR="0056560F" w:rsidRPr="00562E6F" w:rsidRDefault="0056560F" w:rsidP="00372BAA">
      <w:pPr>
        <w:pStyle w:val="eTRMBulletedText"/>
      </w:pPr>
      <m:oMathPara>
        <m:oMath>
          <m:r>
            <w:rPr>
              <w:rFonts w:ascii="Cambria Math" w:hAnsi="Cambria Math"/>
            </w:rPr>
            <m:t>MDEC</m:t>
          </m:r>
          <m:r>
            <m:rPr>
              <m:sty m:val="p"/>
            </m:rPr>
            <w:rPr>
              <w:rFonts w:ascii="Cambria Math" w:hAnsi="Cambria Math"/>
            </w:rPr>
            <m:t>=</m:t>
          </m:r>
          <m:r>
            <w:rPr>
              <w:rFonts w:ascii="Cambria Math" w:hAnsi="Cambria Math"/>
            </w:rPr>
            <m:t>Calculated</m:t>
          </m:r>
          <m:r>
            <m:rPr>
              <m:sty m:val="p"/>
            </m:rPr>
            <w:rPr>
              <w:rFonts w:ascii="Cambria Math" w:hAnsi="Cambria Math"/>
            </w:rPr>
            <m:t xml:space="preserve"> </m:t>
          </m:r>
          <m:r>
            <w:rPr>
              <w:rFonts w:ascii="Cambria Math" w:hAnsi="Cambria Math"/>
            </w:rPr>
            <m:t>based</m:t>
          </m:r>
          <m:r>
            <m:rPr>
              <m:sty m:val="p"/>
            </m:rPr>
            <w:rPr>
              <w:rFonts w:ascii="Cambria Math" w:hAnsi="Cambria Math"/>
            </w:rPr>
            <m:t xml:space="preserve"> </m:t>
          </m:r>
          <m:r>
            <w:rPr>
              <w:rFonts w:ascii="Cambria Math" w:hAnsi="Cambria Math"/>
            </w:rPr>
            <m:t>on</m:t>
          </m:r>
          <m:r>
            <m:rPr>
              <m:sty m:val="p"/>
            </m:rPr>
            <w:rPr>
              <w:rFonts w:ascii="Cambria Math" w:hAnsi="Cambria Math"/>
            </w:rPr>
            <m:t xml:space="preserve"> </m:t>
          </m:r>
          <m:r>
            <w:rPr>
              <w:rFonts w:ascii="Cambria Math" w:hAnsi="Cambria Math"/>
            </w:rPr>
            <m:t>Title</m:t>
          </m:r>
          <m:r>
            <m:rPr>
              <m:sty m:val="p"/>
            </m:rPr>
            <w:rPr>
              <w:rFonts w:ascii="Cambria Math" w:hAnsi="Cambria Math"/>
            </w:rPr>
            <m:t xml:space="preserve"> 10 </m:t>
          </m:r>
          <m:r>
            <w:rPr>
              <w:rFonts w:ascii="Cambria Math" w:hAnsi="Cambria Math"/>
            </w:rPr>
            <m:t>MDEC</m:t>
          </m:r>
          <m:r>
            <m:rPr>
              <m:sty m:val="p"/>
            </m:rPr>
            <w:rPr>
              <w:rFonts w:ascii="Cambria Math" w:hAnsi="Cambria Math"/>
            </w:rPr>
            <m:t xml:space="preserve"> </m:t>
          </m:r>
          <m:r>
            <w:rPr>
              <w:rFonts w:ascii="Cambria Math" w:hAnsi="Cambria Math"/>
            </w:rPr>
            <m:t>equation</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kWh</m:t>
                  </m:r>
                </m:num>
                <m:den>
                  <m:r>
                    <w:rPr>
                      <w:rFonts w:ascii="Cambria Math" w:hAnsi="Cambria Math"/>
                    </w:rPr>
                    <m:t>day</m:t>
                  </m:r>
                </m:den>
              </m:f>
            </m:e>
          </m:d>
          <m:r>
            <m:rPr>
              <m:sty m:val="p"/>
            </m:rPr>
            <w:rPr>
              <w:rFonts w:ascii="Cambria Math" w:hAnsi="Cambria Math"/>
            </w:rPr>
            <w:br/>
          </m:r>
        </m:oMath>
        <m:oMath>
          <m:r>
            <w:rPr>
              <w:rFonts w:ascii="Cambria Math" w:hAnsi="Cambria Math"/>
            </w:rPr>
            <m:t>DEC</m:t>
          </m:r>
          <m:r>
            <m:rPr>
              <m:sty m:val="p"/>
            </m:rPr>
            <w:rPr>
              <w:rFonts w:ascii="Cambria Math" w:hAnsi="Cambria Math"/>
            </w:rPr>
            <m:t>=</m:t>
          </m:r>
          <m:r>
            <w:rPr>
              <w:rFonts w:ascii="Cambria Math" w:hAnsi="Cambria Math"/>
            </w:rPr>
            <m:t>Obtained</m:t>
          </m:r>
          <m:r>
            <m:rPr>
              <m:sty m:val="p"/>
            </m:rPr>
            <w:rPr>
              <w:rFonts w:ascii="Cambria Math" w:hAnsi="Cambria Math"/>
            </w:rPr>
            <m:t xml:space="preserve"> </m:t>
          </m:r>
          <m:r>
            <w:rPr>
              <w:rFonts w:ascii="Cambria Math" w:hAnsi="Cambria Math"/>
            </w:rPr>
            <m:t>from</m:t>
          </m:r>
          <m:r>
            <m:rPr>
              <m:sty m:val="p"/>
            </m:rPr>
            <w:rPr>
              <w:rFonts w:ascii="Cambria Math" w:hAnsi="Cambria Math"/>
            </w:rPr>
            <m:t xml:space="preserve"> </m:t>
          </m:r>
          <m:r>
            <w:rPr>
              <w:rFonts w:ascii="Cambria Math" w:hAnsi="Cambria Math"/>
            </w:rPr>
            <m:t>DOE</m:t>
          </m:r>
          <m:r>
            <m:rPr>
              <m:sty m:val="p"/>
            </m:rPr>
            <w:rPr>
              <w:rFonts w:ascii="Cambria Math" w:hAnsi="Cambria Math"/>
            </w:rPr>
            <m:t xml:space="preserve"> </m:t>
          </m:r>
          <m:r>
            <w:rPr>
              <w:rFonts w:ascii="Cambria Math" w:hAnsi="Cambria Math"/>
            </w:rPr>
            <m:t>equipment</m:t>
          </m:r>
          <m:r>
            <m:rPr>
              <m:sty m:val="p"/>
            </m:rPr>
            <w:rPr>
              <w:rFonts w:ascii="Cambria Math" w:hAnsi="Cambria Math"/>
            </w:rPr>
            <m:t xml:space="preserve"> </m:t>
          </m:r>
          <m:r>
            <w:rPr>
              <w:rFonts w:ascii="Cambria Math" w:hAnsi="Cambria Math"/>
            </w:rPr>
            <m:t>class</m:t>
          </m:r>
          <m:r>
            <m:rPr>
              <m:sty m:val="p"/>
            </m:rPr>
            <w:rPr>
              <w:rFonts w:ascii="Cambria Math" w:hAnsi="Cambria Math"/>
            </w:rPr>
            <m:t xml:space="preserve"> </m:t>
          </m:r>
          <m:r>
            <w:rPr>
              <w:rFonts w:ascii="Cambria Math" w:hAnsi="Cambria Math"/>
            </w:rPr>
            <m:t>database</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kWh</m:t>
                  </m:r>
                </m:num>
                <m:den>
                  <m:r>
                    <w:rPr>
                      <w:rFonts w:ascii="Cambria Math" w:hAnsi="Cambria Math"/>
                    </w:rPr>
                    <m:t>day</m:t>
                  </m:r>
                </m:den>
              </m:f>
            </m:e>
          </m:d>
          <m:r>
            <m:rPr>
              <m:sty m:val="p"/>
            </m:rPr>
            <w:rPr>
              <w:rFonts w:ascii="Cambria Math" w:hAnsi="Cambria Math"/>
            </w:rPr>
            <w:br/>
          </m:r>
        </m:oMath>
        <m:oMath>
          <m:r>
            <w:rPr>
              <w:rFonts w:ascii="Cambria Math" w:hAnsi="Cambria Math"/>
            </w:rPr>
            <m:t>k</m:t>
          </m:r>
          <m:r>
            <m:rPr>
              <m:sty m:val="p"/>
            </m:rPr>
            <w:rPr>
              <w:rFonts w:ascii="Cambria Math" w:hAnsi="Cambria Math"/>
            </w:rPr>
            <m:t>=</m:t>
          </m:r>
          <m:r>
            <w:rPr>
              <w:rFonts w:ascii="Cambria Math" w:hAnsi="Cambria Math"/>
            </w:rPr>
            <m:t>Total</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equipment</m:t>
          </m:r>
          <m:r>
            <m:rPr>
              <m:sty m:val="p"/>
            </m:rPr>
            <w:rPr>
              <w:rFonts w:ascii="Cambria Math" w:hAnsi="Cambria Math"/>
            </w:rPr>
            <m:t xml:space="preserve"> </m:t>
          </m:r>
          <m:r>
            <w:rPr>
              <w:rFonts w:ascii="Cambria Math" w:hAnsi="Cambria Math"/>
            </w:rPr>
            <m:t>classes</m:t>
          </m:r>
          <m:r>
            <m:rPr>
              <m:sty m:val="p"/>
            </m:rPr>
            <w:rPr>
              <w:rFonts w:ascii="Cambria Math" w:hAnsi="Cambria Math"/>
            </w:rPr>
            <m:t xml:space="preserve"> </m:t>
          </m:r>
          <m:r>
            <w:rPr>
              <w:rFonts w:ascii="Cambria Math" w:hAnsi="Cambria Math"/>
            </w:rPr>
            <m:t>more</m:t>
          </m:r>
          <m:r>
            <m:rPr>
              <m:sty m:val="p"/>
            </m:rPr>
            <w:rPr>
              <w:rFonts w:ascii="Cambria Math" w:hAnsi="Cambria Math"/>
            </w:rPr>
            <m:t xml:space="preserve"> </m:t>
          </m:r>
          <m:r>
            <w:rPr>
              <w:rFonts w:ascii="Cambria Math" w:hAnsi="Cambria Math"/>
            </w:rPr>
            <m:t>efficient</m:t>
          </m:r>
          <m:r>
            <m:rPr>
              <m:sty m:val="p"/>
            </m:rPr>
            <w:rPr>
              <w:rFonts w:ascii="Cambria Math" w:hAnsi="Cambria Math"/>
            </w:rPr>
            <m:t xml:space="preserve"> </m:t>
          </m:r>
          <m:r>
            <w:rPr>
              <w:rFonts w:ascii="Cambria Math" w:hAnsi="Cambria Math"/>
            </w:rPr>
            <m:t>than</m:t>
          </m:r>
          <m:r>
            <m:rPr>
              <m:sty m:val="p"/>
            </m:rPr>
            <w:rPr>
              <w:rFonts w:ascii="Cambria Math" w:hAnsi="Cambria Math"/>
            </w:rPr>
            <m:t xml:space="preserve"> 2017 </m:t>
          </m:r>
          <m:r>
            <w:rPr>
              <w:rFonts w:ascii="Cambria Math" w:hAnsi="Cambria Math"/>
            </w:rPr>
            <m:t>federal</m:t>
          </m:r>
          <m:r>
            <m:rPr>
              <m:sty m:val="p"/>
            </m:rPr>
            <w:rPr>
              <w:rFonts w:ascii="Cambria Math" w:hAnsi="Cambria Math"/>
            </w:rPr>
            <m:t xml:space="preserve"> </m:t>
          </m:r>
          <m:r>
            <w:rPr>
              <w:rFonts w:ascii="Cambria Math" w:hAnsi="Cambria Math"/>
            </w:rPr>
            <m:t>code</m:t>
          </m:r>
          <m:r>
            <m:rPr>
              <m:sty m:val="p"/>
            </m:rPr>
            <w:rPr>
              <w:rFonts w:ascii="Cambria Math" w:hAnsi="Cambria Math"/>
            </w:rPr>
            <w:br/>
          </m:r>
        </m:oMath>
        <m:oMath>
          <m:r>
            <w:rPr>
              <w:rFonts w:ascii="Cambria Math" w:hAnsi="Cambria Math"/>
            </w:rPr>
            <m:t>i</m:t>
          </m:r>
          <m:r>
            <m:rPr>
              <m:sty m:val="p"/>
            </m:rPr>
            <w:rPr>
              <w:rFonts w:ascii="Cambria Math" w:hAnsi="Cambria Math"/>
            </w:rPr>
            <m:t>=</m:t>
          </m:r>
          <m:sSup>
            <m:sSupPr>
              <m:ctrlPr>
                <w:rPr>
                  <w:rFonts w:ascii="Cambria Math" w:hAnsi="Cambria Math"/>
                </w:rPr>
              </m:ctrlPr>
            </m:sSupPr>
            <m:e>
              <m:r>
                <w:rPr>
                  <w:rFonts w:ascii="Cambria Math" w:hAnsi="Cambria Math"/>
                </w:rPr>
                <m:t>i</m:t>
              </m:r>
            </m:e>
            <m:sup>
              <m:r>
                <w:rPr>
                  <w:rFonts w:ascii="Cambria Math" w:hAnsi="Cambria Math"/>
                </w:rPr>
                <m:t>th</m:t>
              </m:r>
            </m:sup>
          </m:sSup>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equipment</m:t>
          </m:r>
          <m:r>
            <m:rPr>
              <m:sty m:val="p"/>
            </m:rPr>
            <w:rPr>
              <w:rFonts w:ascii="Cambria Math" w:hAnsi="Cambria Math"/>
            </w:rPr>
            <m:t xml:space="preserve"> </m:t>
          </m:r>
          <m:r>
            <w:rPr>
              <w:rFonts w:ascii="Cambria Math" w:hAnsi="Cambria Math"/>
            </w:rPr>
            <m:t>classes</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DOE</m:t>
          </m:r>
          <m:r>
            <m:rPr>
              <m:sty m:val="p"/>
            </m:rPr>
            <w:rPr>
              <w:rFonts w:ascii="Cambria Math" w:hAnsi="Cambria Math"/>
            </w:rPr>
            <m:t xml:space="preserve"> </m:t>
          </m:r>
          <m:r>
            <w:rPr>
              <w:rFonts w:ascii="Cambria Math" w:hAnsi="Cambria Math"/>
            </w:rPr>
            <m:t>database</m:t>
          </m:r>
          <m:r>
            <m:rPr>
              <m:sty m:val="p"/>
            </m:rPr>
            <w:rPr>
              <w:rFonts w:ascii="Cambria Math" w:hAnsi="Cambria Math"/>
            </w:rPr>
            <w:br/>
          </m:r>
        </m:oMath>
      </m:oMathPara>
    </w:p>
    <w:p w14:paraId="6148AC5B" w14:textId="7F30A963" w:rsidR="00562E6F" w:rsidRPr="00562E6F" w:rsidRDefault="00562E6F" w:rsidP="00372BAA">
      <w:pPr>
        <w:pStyle w:val="eTRMBulletedText"/>
      </w:pPr>
      <w:r w:rsidRPr="00232F17">
        <w:lastRenderedPageBreak/>
        <w:t>To determine if the calculated average</w:t>
      </w:r>
      <w:r w:rsidR="00232F17" w:rsidRPr="0017286B">
        <w:t xml:space="preserve"> product performance score </w:t>
      </w:r>
      <w:r w:rsidRPr="00232F17">
        <w:t>was an acceptable</w:t>
      </w:r>
      <w:r w:rsidR="00232F17" w:rsidRPr="0017286B">
        <w:t xml:space="preserve"> performance threshold</w:t>
      </w:r>
      <w:r w:rsidRPr="00232F17">
        <w:t xml:space="preserve"> for the equipment class, the number of qualifying units </w:t>
      </w:r>
      <w:r w:rsidR="00232F17" w:rsidRPr="0017286B">
        <w:t>in</w:t>
      </w:r>
      <w:r w:rsidRPr="00232F17">
        <w:t xml:space="preserve"> the DOE Database was evaluated to ensure </w:t>
      </w:r>
      <w:r w:rsidR="00232F17" w:rsidRPr="0017286B">
        <w:t xml:space="preserve">that </w:t>
      </w:r>
      <w:r w:rsidRPr="00232F17">
        <w:t xml:space="preserve">units qualify at all size ranges for the measure. </w:t>
      </w:r>
    </w:p>
    <w:p w14:paraId="7B2BE0D6" w14:textId="77777777" w:rsidR="00562E6F" w:rsidRDefault="00562E6F" w:rsidP="00372BAA">
      <w:pPr>
        <w:pStyle w:val="eTRMBulletedText"/>
      </w:pPr>
    </w:p>
    <w:p w14:paraId="57AF63E6" w14:textId="22F903B7" w:rsidR="00AC4BD2" w:rsidRDefault="00BC37DA" w:rsidP="00AC4BD2">
      <w:pPr>
        <w:pStyle w:val="eTRMBulletedText"/>
      </w:pPr>
      <w:r w:rsidRPr="009676EE">
        <w:t xml:space="preserve">The maximum and minimum TDAs </w:t>
      </w:r>
      <w:r w:rsidR="00A970CE" w:rsidRPr="009676EE">
        <w:t xml:space="preserve">125 </w:t>
      </w:r>
      <w:r w:rsidRPr="009676EE">
        <w:t>ft</w:t>
      </w:r>
      <w:r w:rsidRPr="009676EE">
        <w:rPr>
          <w:vertAlign w:val="superscript"/>
        </w:rPr>
        <w:t>2</w:t>
      </w:r>
      <w:r w:rsidRPr="009676EE">
        <w:t xml:space="preserve"> and 6 ft</w:t>
      </w:r>
      <w:r w:rsidRPr="009676EE">
        <w:rPr>
          <w:vertAlign w:val="superscript"/>
        </w:rPr>
        <w:t>2</w:t>
      </w:r>
      <w:r w:rsidRPr="009676EE">
        <w:t>, respectively.</w:t>
      </w:r>
      <w:r w:rsidR="00AC4BD2" w:rsidRPr="009676EE">
        <w:t xml:space="preserve"> Where an equipment class included products with a wide range of sizes (i.e. TDA or V) as indicated by </w:t>
      </w:r>
      <w:r w:rsidR="00AC4BD2" w:rsidRPr="0017286B">
        <w:t xml:space="preserve">a </w:t>
      </w:r>
      <w:r w:rsidR="00AC4BD2" w:rsidRPr="009676EE">
        <w:t>coefficient of variation (</w:t>
      </w:r>
      <m:oMath>
        <m:sSub>
          <m:sSubPr>
            <m:ctrlPr>
              <w:rPr>
                <w:rFonts w:ascii="Cambria Math" w:eastAsiaTheme="minorHAnsi" w:hAnsi="Cambria Math" w:cs="Calibri"/>
                <w:szCs w:val="22"/>
              </w:rPr>
            </m:ctrlPr>
          </m:sSubPr>
          <m:e>
            <m:r>
              <w:rPr>
                <w:rFonts w:ascii="Cambria Math" w:hAnsi="Cambria Math"/>
              </w:rPr>
              <m:t>C</m:t>
            </m:r>
          </m:e>
          <m:sub>
            <m:r>
              <w:rPr>
                <w:rFonts w:ascii="Cambria Math" w:hAnsi="Cambria Math"/>
              </w:rPr>
              <m:t>v</m:t>
            </m:r>
          </m:sub>
        </m:sSub>
      </m:oMath>
      <w:r w:rsidR="00AC4BD2" w:rsidRPr="007D1C6D">
        <w:t>) greater than 0.3, the prod</w:t>
      </w:r>
      <w:proofErr w:type="spellStart"/>
      <w:r w:rsidR="00AC4BD2" w:rsidRPr="007D1C6D">
        <w:t>ucts</w:t>
      </w:r>
      <w:proofErr w:type="spellEnd"/>
      <w:r w:rsidR="00AC4BD2" w:rsidRPr="007D1C6D">
        <w:t xml:space="preserve"> were grouped by size into two or more subclasses (a.k.a. size bins). An algorithm was followed to define the size bins for a given equipment class: Start with one bin for all sizes. Calculate </w:t>
      </w:r>
      <m:oMath>
        <m:sSub>
          <m:sSubPr>
            <m:ctrlPr>
              <w:rPr>
                <w:rFonts w:ascii="Cambria Math" w:eastAsiaTheme="minorHAnsi" w:hAnsi="Cambria Math" w:cs="Calibri"/>
                <w:szCs w:val="22"/>
              </w:rPr>
            </m:ctrlPr>
          </m:sSubPr>
          <m:e>
            <m:r>
              <w:rPr>
                <w:rFonts w:ascii="Cambria Math" w:hAnsi="Cambria Math"/>
              </w:rPr>
              <m:t>C</m:t>
            </m:r>
          </m:e>
          <m:sub>
            <m:r>
              <w:rPr>
                <w:rFonts w:ascii="Cambria Math" w:hAnsi="Cambria Math"/>
              </w:rPr>
              <m:t>v</m:t>
            </m:r>
          </m:sub>
        </m:sSub>
      </m:oMath>
      <w:r w:rsidR="00AC4BD2" w:rsidRPr="007D1C6D">
        <w:t xml:space="preserve"> for all products in the bin. If </w:t>
      </w:r>
      <m:oMath>
        <m:r>
          <w:rPr>
            <w:rFonts w:ascii="Cambria Math" w:hAnsi="Cambria Math"/>
          </w:rPr>
          <m:t xml:space="preserve"> </m:t>
        </m:r>
        <m:sSub>
          <m:sSubPr>
            <m:ctrlPr>
              <w:rPr>
                <w:rFonts w:ascii="Cambria Math" w:eastAsiaTheme="minorHAnsi" w:hAnsi="Cambria Math" w:cs="Calibri"/>
                <w:szCs w:val="22"/>
              </w:rPr>
            </m:ctrlPr>
          </m:sSubPr>
          <m:e>
            <m:r>
              <w:rPr>
                <w:rFonts w:ascii="Cambria Math" w:hAnsi="Cambria Math"/>
              </w:rPr>
              <m:t>C</m:t>
            </m:r>
          </m:e>
          <m:sub>
            <m:r>
              <w:rPr>
                <w:rFonts w:ascii="Cambria Math" w:hAnsi="Cambria Math"/>
              </w:rPr>
              <m:t>v</m:t>
            </m:r>
          </m:sub>
        </m:sSub>
        <m:r>
          <m:rPr>
            <m:sty m:val="p"/>
          </m:rPr>
          <w:rPr>
            <w:rFonts w:ascii="Cambria Math" w:hAnsi="Cambria Math"/>
          </w:rPr>
          <m:t>&gt;0.3</m:t>
        </m:r>
      </m:oMath>
      <w:r w:rsidR="00AC4BD2" w:rsidRPr="007D1C6D">
        <w:t xml:space="preserve">, then split the bin by inserting a new “split point” </w:t>
      </w:r>
      <w:r w:rsidR="00AC4BD2" w:rsidRPr="007D1C6D">
        <w:rPr>
          <w:i/>
          <w:iCs/>
        </w:rPr>
        <w:t>x</w:t>
      </w:r>
      <w:r w:rsidR="00AC4BD2" w:rsidRPr="007D1C6D">
        <w:t xml:space="preserve"> such that a product goes in bin 1 if its size &lt;= </w:t>
      </w:r>
      <w:r w:rsidR="00AC4BD2" w:rsidRPr="007D1C6D">
        <w:rPr>
          <w:i/>
          <w:iCs/>
        </w:rPr>
        <w:t>x</w:t>
      </w:r>
      <w:r w:rsidR="00AC4BD2" w:rsidRPr="007D1C6D">
        <w:t xml:space="preserve">; else the product goes in bin 2 (size &gt; </w:t>
      </w:r>
      <w:r w:rsidR="00AC4BD2" w:rsidRPr="007D1C6D">
        <w:rPr>
          <w:i/>
          <w:iCs/>
        </w:rPr>
        <w:t>x</w:t>
      </w:r>
      <w:r w:rsidR="00AC4BD2" w:rsidRPr="007D1C6D">
        <w:t>). Manually adjust the split point(s) so that the</w:t>
      </w:r>
      <w:r w:rsidR="00AC4BD2" w:rsidRPr="0017286B">
        <w:t xml:space="preserve"> </w:t>
      </w:r>
      <m:oMath>
        <m:sSub>
          <m:sSubPr>
            <m:ctrlPr>
              <w:rPr>
                <w:rFonts w:ascii="Cambria Math" w:eastAsiaTheme="minorHAnsi" w:hAnsi="Cambria Math" w:cs="Calibri"/>
                <w:szCs w:val="22"/>
              </w:rPr>
            </m:ctrlPr>
          </m:sSubPr>
          <m:e>
            <m:r>
              <w:rPr>
                <w:rFonts w:ascii="Cambria Math" w:hAnsi="Cambria Math"/>
              </w:rPr>
              <m:t>C</m:t>
            </m:r>
          </m:e>
          <m:sub>
            <m:r>
              <w:rPr>
                <w:rFonts w:ascii="Cambria Math" w:hAnsi="Cambria Math"/>
              </w:rPr>
              <m:t>v</m:t>
            </m:r>
          </m:sub>
        </m:sSub>
      </m:oMath>
      <w:r w:rsidR="00AC4BD2" w:rsidRPr="007D1C6D">
        <w:t xml:space="preserve"> values are nearly uniform across all the bins. Stop when each size bin </w:t>
      </w:r>
      <m:oMath>
        <m:sSub>
          <m:sSubPr>
            <m:ctrlPr>
              <w:rPr>
                <w:rFonts w:ascii="Cambria Math" w:eastAsiaTheme="minorHAnsi" w:hAnsi="Cambria Math" w:cs="Calibri"/>
                <w:szCs w:val="22"/>
              </w:rPr>
            </m:ctrlPr>
          </m:sSubPr>
          <m:e>
            <m:r>
              <w:rPr>
                <w:rFonts w:ascii="Cambria Math" w:hAnsi="Cambria Math"/>
              </w:rPr>
              <m:t>C</m:t>
            </m:r>
          </m:e>
          <m:sub>
            <m:r>
              <w:rPr>
                <w:rFonts w:ascii="Cambria Math" w:hAnsi="Cambria Math"/>
              </w:rPr>
              <m:t>v</m:t>
            </m:r>
          </m:sub>
        </m:sSub>
      </m:oMath>
      <w:r w:rsidR="00AC4BD2" w:rsidRPr="007D1C6D">
        <w:t xml:space="preserve"> is less than 0.3, or when there is a bin with a small number of products (too few to evaluate statistics).</w:t>
      </w:r>
    </w:p>
    <w:p w14:paraId="0327662D" w14:textId="1987916F" w:rsidR="009676EE" w:rsidRDefault="009676EE" w:rsidP="00AC4BD2">
      <w:pPr>
        <w:pStyle w:val="eTRMBulletedText"/>
      </w:pPr>
    </w:p>
    <w:p w14:paraId="62F1A6B4" w14:textId="23696709" w:rsidR="00AC5EE6" w:rsidRDefault="00B96992" w:rsidP="00AC4BD2">
      <w:pPr>
        <w:ind w:left="720"/>
      </w:pPr>
      <w:r w:rsidRPr="009640FE">
        <w:t>A summary of the evaluated data for all display cases is shown in the table below.</w:t>
      </w:r>
      <w:r w:rsidR="00666A7D" w:rsidRPr="00666A7D">
        <w:t xml:space="preserve"> </w:t>
      </w:r>
      <w:r w:rsidR="00666A7D" w:rsidRPr="00A64D68">
        <w:t xml:space="preserve">Refer to </w:t>
      </w:r>
      <w:r w:rsidR="00A64D68" w:rsidRPr="00A64D68">
        <w:t>the supporting documentation</w:t>
      </w:r>
      <w:r w:rsidR="00666A7D" w:rsidRPr="009640FE">
        <w:t xml:space="preserve"> for data evaluations of each display case.</w:t>
      </w:r>
      <w:r w:rsidR="00A64D68" w:rsidRPr="00A64D68">
        <w:rPr>
          <w:rStyle w:val="FootnoteReference"/>
        </w:rPr>
        <w:t xml:space="preserve"> </w:t>
      </w:r>
      <w:r w:rsidR="00A64D68">
        <w:rPr>
          <w:rStyle w:val="FootnoteReference"/>
        </w:rPr>
        <w:footnoteReference w:id="13"/>
      </w:r>
    </w:p>
    <w:p w14:paraId="58082DFA" w14:textId="77777777" w:rsidR="004F6C25" w:rsidRPr="009640FE" w:rsidRDefault="004F6C25" w:rsidP="00407B6B">
      <w:pPr>
        <w:pStyle w:val="Caption"/>
      </w:pPr>
      <w:r w:rsidRPr="009640FE">
        <w:t xml:space="preserve">Summary of Cases from DOE </w:t>
      </w:r>
    </w:p>
    <w:tbl>
      <w:tblPr>
        <w:tblStyle w:val="TableGrid1"/>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1729"/>
        <w:gridCol w:w="862"/>
        <w:gridCol w:w="1300"/>
        <w:gridCol w:w="1300"/>
        <w:gridCol w:w="1440"/>
        <w:gridCol w:w="1440"/>
        <w:gridCol w:w="1279"/>
      </w:tblGrid>
      <w:tr w:rsidR="0064440D" w:rsidRPr="009640FE" w14:paraId="09143CD1" w14:textId="77777777" w:rsidTr="0064440D">
        <w:trPr>
          <w:tblHeader/>
        </w:trPr>
        <w:tc>
          <w:tcPr>
            <w:tcW w:w="925" w:type="pct"/>
            <w:shd w:val="clear" w:color="auto" w:fill="F2F2F2" w:themeFill="background1" w:themeFillShade="F2"/>
            <w:vAlign w:val="bottom"/>
          </w:tcPr>
          <w:p w14:paraId="4CD8B7BF"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Equipment Class Designation</w:t>
            </w:r>
          </w:p>
        </w:tc>
        <w:tc>
          <w:tcPr>
            <w:tcW w:w="461" w:type="pct"/>
            <w:shd w:val="clear" w:color="auto" w:fill="F2F2F2" w:themeFill="background1" w:themeFillShade="F2"/>
            <w:vAlign w:val="bottom"/>
          </w:tcPr>
          <w:p w14:paraId="310DF1C1"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No. of Units</w:t>
            </w:r>
          </w:p>
        </w:tc>
        <w:tc>
          <w:tcPr>
            <w:tcW w:w="695" w:type="pct"/>
            <w:shd w:val="clear" w:color="auto" w:fill="F2F2F2" w:themeFill="background1" w:themeFillShade="F2"/>
            <w:vAlign w:val="bottom"/>
          </w:tcPr>
          <w:p w14:paraId="7F004B02" w14:textId="326167E3" w:rsidR="008B2439" w:rsidRPr="009640FE" w:rsidRDefault="008B2439" w:rsidP="008B2439">
            <w:pPr>
              <w:spacing w:before="20" w:after="20"/>
              <w:contextualSpacing/>
              <w:jc w:val="center"/>
              <w:rPr>
                <w:rFonts w:cstheme="minorHAnsi"/>
                <w:b/>
                <w:szCs w:val="22"/>
              </w:rPr>
            </w:pPr>
            <w:r w:rsidRPr="009640FE">
              <w:rPr>
                <w:rFonts w:cstheme="minorHAnsi"/>
                <w:b/>
                <w:szCs w:val="22"/>
              </w:rPr>
              <w:t xml:space="preserve">% of Units </w:t>
            </w:r>
            <w:r>
              <w:rPr>
                <w:rFonts w:cstheme="minorHAnsi"/>
                <w:b/>
                <w:szCs w:val="22"/>
              </w:rPr>
              <w:t>Meet</w:t>
            </w:r>
            <w:r w:rsidRPr="009640FE">
              <w:rPr>
                <w:rFonts w:cstheme="minorHAnsi"/>
                <w:b/>
                <w:szCs w:val="22"/>
              </w:rPr>
              <w:t xml:space="preserve"> </w:t>
            </w:r>
            <w:r w:rsidR="000009B0">
              <w:rPr>
                <w:rFonts w:cstheme="minorHAnsi"/>
                <w:b/>
                <w:szCs w:val="22"/>
              </w:rPr>
              <w:t xml:space="preserve">or Exceed </w:t>
            </w:r>
            <w:r w:rsidR="00AC4BD2">
              <w:rPr>
                <w:rFonts w:cstheme="minorHAnsi"/>
                <w:b/>
                <w:szCs w:val="22"/>
              </w:rPr>
              <w:t>2</w:t>
            </w:r>
            <w:r w:rsidRPr="009640FE">
              <w:rPr>
                <w:rFonts w:cstheme="minorHAnsi"/>
                <w:b/>
                <w:szCs w:val="22"/>
              </w:rPr>
              <w:t>017</w:t>
            </w:r>
            <w:r>
              <w:rPr>
                <w:rFonts w:cstheme="minorHAnsi"/>
                <w:b/>
                <w:szCs w:val="22"/>
              </w:rPr>
              <w:t xml:space="preserve"> </w:t>
            </w:r>
            <w:r w:rsidRPr="009640FE">
              <w:rPr>
                <w:rFonts w:cstheme="minorHAnsi"/>
                <w:b/>
                <w:szCs w:val="22"/>
              </w:rPr>
              <w:t>Code</w:t>
            </w:r>
          </w:p>
        </w:tc>
        <w:tc>
          <w:tcPr>
            <w:tcW w:w="695" w:type="pct"/>
            <w:shd w:val="clear" w:color="auto" w:fill="F2F2F2" w:themeFill="background1" w:themeFillShade="F2"/>
            <w:vAlign w:val="bottom"/>
          </w:tcPr>
          <w:p w14:paraId="494A7A05" w14:textId="69EB7716" w:rsidR="008B2439" w:rsidRPr="009640FE" w:rsidRDefault="008B2439" w:rsidP="008B2439">
            <w:pPr>
              <w:spacing w:before="20" w:after="20"/>
              <w:contextualSpacing/>
              <w:jc w:val="center"/>
              <w:rPr>
                <w:rFonts w:cstheme="minorHAnsi"/>
                <w:b/>
                <w:szCs w:val="22"/>
              </w:rPr>
            </w:pPr>
            <w:r w:rsidRPr="009640FE">
              <w:rPr>
                <w:rFonts w:cstheme="minorHAnsi"/>
                <w:b/>
                <w:szCs w:val="22"/>
              </w:rPr>
              <w:t xml:space="preserve">Overall % </w:t>
            </w:r>
            <w:r>
              <w:rPr>
                <w:rFonts w:cstheme="minorHAnsi"/>
                <w:b/>
                <w:szCs w:val="22"/>
              </w:rPr>
              <w:t xml:space="preserve">DEC &lt; </w:t>
            </w:r>
            <w:r w:rsidRPr="009640FE">
              <w:rPr>
                <w:rFonts w:cstheme="minorHAnsi"/>
                <w:b/>
                <w:szCs w:val="22"/>
              </w:rPr>
              <w:t>2017</w:t>
            </w:r>
            <w:r>
              <w:rPr>
                <w:rFonts w:cstheme="minorHAnsi"/>
                <w:b/>
                <w:szCs w:val="22"/>
              </w:rPr>
              <w:t xml:space="preserve"> </w:t>
            </w:r>
            <w:r w:rsidRPr="009640FE">
              <w:rPr>
                <w:rFonts w:cstheme="minorHAnsi"/>
                <w:b/>
                <w:szCs w:val="22"/>
              </w:rPr>
              <w:t>Code</w:t>
            </w:r>
            <w:r w:rsidR="009676EE" w:rsidRPr="0017286B">
              <w:rPr>
                <w:rFonts w:cstheme="minorHAnsi"/>
                <w:b/>
                <w:szCs w:val="22"/>
                <w:vertAlign w:val="superscript"/>
              </w:rPr>
              <w:t>1</w:t>
            </w:r>
          </w:p>
        </w:tc>
        <w:tc>
          <w:tcPr>
            <w:tcW w:w="770" w:type="pct"/>
            <w:shd w:val="clear" w:color="auto" w:fill="F2F2F2" w:themeFill="background1" w:themeFillShade="F2"/>
            <w:vAlign w:val="bottom"/>
          </w:tcPr>
          <w:p w14:paraId="4937FA0B" w14:textId="77777777" w:rsidR="008B2439" w:rsidRPr="009640FE" w:rsidRDefault="008B2439" w:rsidP="008B2439">
            <w:pPr>
              <w:spacing w:before="20" w:after="20"/>
              <w:contextualSpacing/>
              <w:jc w:val="center"/>
              <w:rPr>
                <w:rFonts w:cstheme="minorHAnsi"/>
                <w:b/>
                <w:szCs w:val="22"/>
              </w:rPr>
            </w:pPr>
            <w:r>
              <w:rPr>
                <w:rFonts w:cstheme="minorHAnsi"/>
                <w:b/>
                <w:szCs w:val="22"/>
              </w:rPr>
              <w:t>Min</w:t>
            </w:r>
            <w:r w:rsidRPr="009640FE">
              <w:rPr>
                <w:rFonts w:cstheme="minorHAnsi"/>
                <w:b/>
                <w:szCs w:val="22"/>
              </w:rPr>
              <w:t xml:space="preserve"> TDA </w:t>
            </w:r>
            <w:r w:rsidR="0064440D">
              <w:rPr>
                <w:rFonts w:cstheme="minorHAnsi"/>
                <w:b/>
                <w:szCs w:val="22"/>
              </w:rPr>
              <w:t>(ft</w:t>
            </w:r>
            <w:r w:rsidR="0064440D" w:rsidRPr="0064440D">
              <w:rPr>
                <w:rFonts w:cstheme="minorHAnsi"/>
                <w:b/>
                <w:szCs w:val="22"/>
                <w:vertAlign w:val="superscript"/>
              </w:rPr>
              <w:t>2</w:t>
            </w:r>
            <w:r w:rsidR="0064440D">
              <w:rPr>
                <w:rFonts w:cstheme="minorHAnsi"/>
                <w:b/>
                <w:szCs w:val="22"/>
              </w:rPr>
              <w:t xml:space="preserve">) </w:t>
            </w:r>
            <w:r w:rsidR="0064440D" w:rsidRPr="009640FE">
              <w:rPr>
                <w:rFonts w:cstheme="minorHAnsi"/>
                <w:b/>
                <w:szCs w:val="22"/>
              </w:rPr>
              <w:t>or V</w:t>
            </w:r>
            <w:r w:rsidR="0064440D">
              <w:rPr>
                <w:rFonts w:cstheme="minorHAnsi"/>
                <w:b/>
                <w:szCs w:val="22"/>
              </w:rPr>
              <w:t xml:space="preserve"> (ft</w:t>
            </w:r>
            <w:r w:rsidR="0064440D" w:rsidRPr="0064440D">
              <w:rPr>
                <w:rFonts w:cstheme="minorHAnsi"/>
                <w:b/>
                <w:szCs w:val="22"/>
                <w:vertAlign w:val="superscript"/>
              </w:rPr>
              <w:t>3</w:t>
            </w:r>
            <w:r w:rsidR="0064440D">
              <w:rPr>
                <w:rFonts w:cstheme="minorHAnsi"/>
                <w:b/>
                <w:szCs w:val="22"/>
              </w:rPr>
              <w:t>)</w:t>
            </w:r>
          </w:p>
        </w:tc>
        <w:tc>
          <w:tcPr>
            <w:tcW w:w="770" w:type="pct"/>
            <w:shd w:val="clear" w:color="auto" w:fill="F2F2F2" w:themeFill="background1" w:themeFillShade="F2"/>
            <w:vAlign w:val="bottom"/>
          </w:tcPr>
          <w:p w14:paraId="038044E0" w14:textId="77777777" w:rsidR="008B2439" w:rsidRPr="009640FE" w:rsidRDefault="008B2439" w:rsidP="008B2439">
            <w:pPr>
              <w:spacing w:before="20" w:after="20"/>
              <w:contextualSpacing/>
              <w:jc w:val="center"/>
              <w:rPr>
                <w:rFonts w:cstheme="minorHAnsi"/>
                <w:b/>
                <w:szCs w:val="22"/>
              </w:rPr>
            </w:pPr>
            <w:r>
              <w:rPr>
                <w:rFonts w:cstheme="minorHAnsi"/>
                <w:b/>
                <w:szCs w:val="22"/>
              </w:rPr>
              <w:t>Max</w:t>
            </w:r>
            <w:r w:rsidRPr="009640FE">
              <w:rPr>
                <w:rFonts w:cstheme="minorHAnsi"/>
                <w:b/>
                <w:szCs w:val="22"/>
              </w:rPr>
              <w:t xml:space="preserve"> TDA </w:t>
            </w:r>
            <w:r w:rsidR="0064440D">
              <w:rPr>
                <w:rFonts w:cstheme="minorHAnsi"/>
                <w:b/>
                <w:szCs w:val="22"/>
              </w:rPr>
              <w:t>(ft</w:t>
            </w:r>
            <w:r w:rsidR="0064440D" w:rsidRPr="0064440D">
              <w:rPr>
                <w:rFonts w:cstheme="minorHAnsi"/>
                <w:b/>
                <w:szCs w:val="22"/>
                <w:vertAlign w:val="superscript"/>
              </w:rPr>
              <w:t>2</w:t>
            </w:r>
            <w:r w:rsidR="0064440D">
              <w:rPr>
                <w:rFonts w:cstheme="minorHAnsi"/>
                <w:b/>
                <w:szCs w:val="22"/>
              </w:rPr>
              <w:t xml:space="preserve">) </w:t>
            </w:r>
            <w:r w:rsidRPr="009640FE">
              <w:rPr>
                <w:rFonts w:cstheme="minorHAnsi"/>
                <w:b/>
                <w:szCs w:val="22"/>
              </w:rPr>
              <w:t>or V</w:t>
            </w:r>
            <w:r w:rsidR="0064440D">
              <w:rPr>
                <w:rFonts w:cstheme="minorHAnsi"/>
                <w:b/>
                <w:szCs w:val="22"/>
              </w:rPr>
              <w:t xml:space="preserve"> (ft</w:t>
            </w:r>
            <w:r w:rsidR="0064440D" w:rsidRPr="0064440D">
              <w:rPr>
                <w:rFonts w:cstheme="minorHAnsi"/>
                <w:b/>
                <w:szCs w:val="22"/>
                <w:vertAlign w:val="superscript"/>
              </w:rPr>
              <w:t>3</w:t>
            </w:r>
            <w:r w:rsidR="0064440D">
              <w:rPr>
                <w:rFonts w:cstheme="minorHAnsi"/>
                <w:b/>
                <w:szCs w:val="22"/>
              </w:rPr>
              <w:t>)</w:t>
            </w:r>
          </w:p>
        </w:tc>
        <w:tc>
          <w:tcPr>
            <w:tcW w:w="684" w:type="pct"/>
            <w:shd w:val="clear" w:color="auto" w:fill="F2F2F2" w:themeFill="background1" w:themeFillShade="F2"/>
            <w:vAlign w:val="bottom"/>
          </w:tcPr>
          <w:p w14:paraId="6ADF06C9"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Split Point</w:t>
            </w:r>
            <w:r>
              <w:rPr>
                <w:rFonts w:cstheme="minorHAnsi"/>
                <w:b/>
                <w:szCs w:val="22"/>
              </w:rPr>
              <w:t>(s)</w:t>
            </w:r>
          </w:p>
        </w:tc>
      </w:tr>
      <w:tr w:rsidR="0064440D" w:rsidRPr="009640FE" w14:paraId="2D4FD78D" w14:textId="77777777" w:rsidTr="0064440D">
        <w:tc>
          <w:tcPr>
            <w:tcW w:w="925" w:type="pct"/>
            <w:vAlign w:val="center"/>
          </w:tcPr>
          <w:p w14:paraId="686DD1B3"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VOP.RC.M</w:t>
            </w:r>
          </w:p>
        </w:tc>
        <w:tc>
          <w:tcPr>
            <w:tcW w:w="461" w:type="pct"/>
          </w:tcPr>
          <w:p w14:paraId="5812AD92" w14:textId="34239D7F" w:rsidR="008B2439" w:rsidRPr="009640FE" w:rsidRDefault="00A970CE" w:rsidP="008B2439">
            <w:pPr>
              <w:spacing w:before="20" w:after="20"/>
              <w:contextualSpacing/>
              <w:jc w:val="right"/>
              <w:rPr>
                <w:rFonts w:cstheme="minorHAnsi"/>
                <w:szCs w:val="22"/>
              </w:rPr>
            </w:pPr>
            <w:r>
              <w:t>3,806</w:t>
            </w:r>
          </w:p>
        </w:tc>
        <w:tc>
          <w:tcPr>
            <w:tcW w:w="695" w:type="pct"/>
            <w:vAlign w:val="center"/>
          </w:tcPr>
          <w:p w14:paraId="5F99A94E" w14:textId="555DE0A2" w:rsidR="008B2439" w:rsidRPr="009640FE" w:rsidRDefault="00A970CE" w:rsidP="008B2439">
            <w:pPr>
              <w:spacing w:before="20" w:after="20"/>
              <w:contextualSpacing/>
              <w:jc w:val="right"/>
              <w:rPr>
                <w:rFonts w:cstheme="minorHAnsi"/>
                <w:szCs w:val="22"/>
              </w:rPr>
            </w:pPr>
            <w:r w:rsidRPr="00B42628">
              <w:t>9</w:t>
            </w:r>
            <w:r>
              <w:t>5</w:t>
            </w:r>
            <w:r w:rsidR="008B2439" w:rsidRPr="00B42628">
              <w:t>%</w:t>
            </w:r>
          </w:p>
        </w:tc>
        <w:tc>
          <w:tcPr>
            <w:tcW w:w="695" w:type="pct"/>
            <w:vAlign w:val="center"/>
          </w:tcPr>
          <w:p w14:paraId="25010B6D" w14:textId="0D7F9C58" w:rsidR="008B2439" w:rsidRPr="009640FE" w:rsidRDefault="00A970CE" w:rsidP="008B2439">
            <w:pPr>
              <w:spacing w:before="20" w:after="20"/>
              <w:contextualSpacing/>
              <w:jc w:val="right"/>
              <w:rPr>
                <w:rFonts w:cstheme="minorHAnsi"/>
                <w:szCs w:val="22"/>
              </w:rPr>
            </w:pPr>
            <w:r w:rsidRPr="00DF5795">
              <w:t>1</w:t>
            </w:r>
            <w:r>
              <w:t>6</w:t>
            </w:r>
            <w:r w:rsidR="008B2439" w:rsidRPr="00DF5795">
              <w:t>%</w:t>
            </w:r>
          </w:p>
        </w:tc>
        <w:tc>
          <w:tcPr>
            <w:tcW w:w="770" w:type="pct"/>
            <w:vAlign w:val="center"/>
          </w:tcPr>
          <w:p w14:paraId="34201244" w14:textId="77777777" w:rsidR="008B2439" w:rsidRPr="009640FE" w:rsidRDefault="008B2439" w:rsidP="008B2439">
            <w:pPr>
              <w:spacing w:before="20" w:after="20"/>
              <w:contextualSpacing/>
              <w:jc w:val="right"/>
              <w:rPr>
                <w:rFonts w:cstheme="minorHAnsi"/>
                <w:szCs w:val="22"/>
              </w:rPr>
            </w:pPr>
            <w:r w:rsidRPr="009640FE">
              <w:rPr>
                <w:rFonts w:cstheme="minorHAnsi"/>
                <w:szCs w:val="22"/>
              </w:rPr>
              <w:t>6 ft</w:t>
            </w:r>
            <w:r w:rsidRPr="009640FE">
              <w:rPr>
                <w:rFonts w:cstheme="minorHAnsi"/>
                <w:szCs w:val="22"/>
                <w:vertAlign w:val="superscript"/>
              </w:rPr>
              <w:t>2</w:t>
            </w:r>
          </w:p>
        </w:tc>
        <w:tc>
          <w:tcPr>
            <w:tcW w:w="770" w:type="pct"/>
            <w:vAlign w:val="center"/>
          </w:tcPr>
          <w:p w14:paraId="4D6980FC" w14:textId="739D8840" w:rsidR="008B2439" w:rsidRPr="009640FE" w:rsidRDefault="00A970CE" w:rsidP="008B2439">
            <w:pPr>
              <w:spacing w:before="20" w:after="20"/>
              <w:contextualSpacing/>
              <w:jc w:val="right"/>
              <w:rPr>
                <w:rFonts w:cstheme="minorHAnsi"/>
                <w:color w:val="000000"/>
                <w:szCs w:val="22"/>
              </w:rPr>
            </w:pPr>
            <w:r>
              <w:rPr>
                <w:rFonts w:cstheme="minorHAnsi"/>
                <w:szCs w:val="22"/>
              </w:rPr>
              <w:t>125</w:t>
            </w:r>
            <w:r w:rsidRPr="009640FE">
              <w:rPr>
                <w:rFonts w:cstheme="minorHAnsi"/>
                <w:szCs w:val="22"/>
              </w:rPr>
              <w:t xml:space="preserve"> </w:t>
            </w:r>
            <w:r w:rsidR="008B2439" w:rsidRPr="009640FE">
              <w:rPr>
                <w:rFonts w:cstheme="minorHAnsi"/>
                <w:szCs w:val="22"/>
              </w:rPr>
              <w:t>ft</w:t>
            </w:r>
            <w:r w:rsidR="008B2439" w:rsidRPr="009640FE">
              <w:rPr>
                <w:rFonts w:cstheme="minorHAnsi"/>
                <w:szCs w:val="22"/>
                <w:vertAlign w:val="superscript"/>
              </w:rPr>
              <w:t xml:space="preserve">2 </w:t>
            </w:r>
          </w:p>
        </w:tc>
        <w:tc>
          <w:tcPr>
            <w:tcW w:w="684" w:type="pct"/>
            <w:vAlign w:val="center"/>
          </w:tcPr>
          <w:p w14:paraId="63862BEC" w14:textId="77777777" w:rsidR="008B2439" w:rsidRPr="009640FE" w:rsidRDefault="008B2439" w:rsidP="008B2439">
            <w:pPr>
              <w:spacing w:before="20" w:after="20"/>
              <w:contextualSpacing/>
              <w:jc w:val="right"/>
              <w:rPr>
                <w:rFonts w:cstheme="minorHAnsi"/>
                <w:szCs w:val="22"/>
              </w:rPr>
            </w:pPr>
            <w:r w:rsidRPr="009640FE">
              <w:rPr>
                <w:rFonts w:cstheme="minorHAnsi"/>
                <w:color w:val="000000"/>
                <w:szCs w:val="22"/>
              </w:rPr>
              <w:t>30</w:t>
            </w:r>
            <w:r w:rsidRPr="009640FE">
              <w:rPr>
                <w:rFonts w:cstheme="minorHAnsi"/>
                <w:szCs w:val="22"/>
              </w:rPr>
              <w:t xml:space="preserve"> ft</w:t>
            </w:r>
            <w:r w:rsidRPr="009640FE">
              <w:rPr>
                <w:rFonts w:cstheme="minorHAnsi"/>
                <w:szCs w:val="22"/>
                <w:vertAlign w:val="superscript"/>
              </w:rPr>
              <w:t>2</w:t>
            </w:r>
          </w:p>
        </w:tc>
      </w:tr>
      <w:tr w:rsidR="0064440D" w:rsidRPr="009640FE" w14:paraId="31442DC1" w14:textId="77777777" w:rsidTr="0064440D">
        <w:tc>
          <w:tcPr>
            <w:tcW w:w="925" w:type="pct"/>
            <w:vAlign w:val="center"/>
          </w:tcPr>
          <w:p w14:paraId="6B0CF564"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SVO.RC.M</w:t>
            </w:r>
          </w:p>
        </w:tc>
        <w:tc>
          <w:tcPr>
            <w:tcW w:w="461" w:type="pct"/>
          </w:tcPr>
          <w:p w14:paraId="6B2EEDDE" w14:textId="06AFC52E" w:rsidR="008B2439" w:rsidRPr="009640FE" w:rsidRDefault="00A970CE" w:rsidP="008B2439">
            <w:pPr>
              <w:spacing w:before="20" w:after="20"/>
              <w:contextualSpacing/>
              <w:jc w:val="right"/>
              <w:rPr>
                <w:rFonts w:cstheme="minorHAnsi"/>
                <w:szCs w:val="22"/>
              </w:rPr>
            </w:pPr>
            <w:r>
              <w:t>3,703</w:t>
            </w:r>
          </w:p>
        </w:tc>
        <w:tc>
          <w:tcPr>
            <w:tcW w:w="695" w:type="pct"/>
            <w:vAlign w:val="center"/>
          </w:tcPr>
          <w:p w14:paraId="02685743" w14:textId="202C3900" w:rsidR="008B2439" w:rsidRPr="009640FE" w:rsidRDefault="00A970CE" w:rsidP="008B2439">
            <w:pPr>
              <w:spacing w:before="20" w:after="20"/>
              <w:contextualSpacing/>
              <w:jc w:val="right"/>
              <w:rPr>
                <w:rFonts w:cstheme="minorHAnsi"/>
                <w:szCs w:val="22"/>
              </w:rPr>
            </w:pPr>
            <w:r w:rsidRPr="00B42628">
              <w:t>9</w:t>
            </w:r>
            <w:r>
              <w:t>4</w:t>
            </w:r>
            <w:r w:rsidR="008B2439" w:rsidRPr="00B42628">
              <w:t>%</w:t>
            </w:r>
          </w:p>
        </w:tc>
        <w:tc>
          <w:tcPr>
            <w:tcW w:w="695" w:type="pct"/>
            <w:vAlign w:val="center"/>
          </w:tcPr>
          <w:p w14:paraId="77E85152" w14:textId="5B936CD2" w:rsidR="008B2439" w:rsidRPr="009640FE" w:rsidRDefault="00A970CE" w:rsidP="008B2439">
            <w:pPr>
              <w:spacing w:before="20" w:after="20"/>
              <w:contextualSpacing/>
              <w:jc w:val="right"/>
              <w:rPr>
                <w:rFonts w:cstheme="minorHAnsi"/>
                <w:szCs w:val="22"/>
              </w:rPr>
            </w:pPr>
            <w:r w:rsidRPr="00DF5795">
              <w:t>1</w:t>
            </w:r>
            <w:r>
              <w:t>2</w:t>
            </w:r>
            <w:r w:rsidR="008B2439" w:rsidRPr="00DF5795">
              <w:t>%</w:t>
            </w:r>
          </w:p>
        </w:tc>
        <w:tc>
          <w:tcPr>
            <w:tcW w:w="770" w:type="pct"/>
            <w:vAlign w:val="center"/>
          </w:tcPr>
          <w:p w14:paraId="2684A889" w14:textId="77777777" w:rsidR="008B2439" w:rsidRPr="009640FE" w:rsidRDefault="008B2439"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4A424FFC" w14:textId="77777777" w:rsidR="008B2439" w:rsidRPr="009640FE" w:rsidRDefault="008B2439" w:rsidP="008B2439">
            <w:pPr>
              <w:spacing w:before="20" w:after="20"/>
              <w:contextualSpacing/>
              <w:jc w:val="right"/>
              <w:rPr>
                <w:rFonts w:cstheme="minorHAnsi"/>
                <w:color w:val="000000"/>
                <w:szCs w:val="22"/>
              </w:rPr>
            </w:pPr>
            <w:r>
              <w:rPr>
                <w:rFonts w:cstheme="minorHAnsi"/>
                <w:szCs w:val="22"/>
              </w:rPr>
              <w:t>279</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6D034392" w14:textId="77777777" w:rsidR="008B2439" w:rsidRPr="009640FE" w:rsidRDefault="008B2439" w:rsidP="008B2439">
            <w:pPr>
              <w:spacing w:before="20" w:after="20"/>
              <w:contextualSpacing/>
              <w:jc w:val="right"/>
              <w:rPr>
                <w:rFonts w:cstheme="minorHAnsi"/>
                <w:szCs w:val="22"/>
              </w:rPr>
            </w:pPr>
            <w:r w:rsidRPr="009640FE">
              <w:rPr>
                <w:rFonts w:cstheme="minorHAnsi"/>
                <w:color w:val="000000"/>
                <w:szCs w:val="22"/>
              </w:rPr>
              <w:t>2</w:t>
            </w:r>
            <w:r>
              <w:rPr>
                <w:rFonts w:cstheme="minorHAnsi"/>
                <w:color w:val="000000"/>
                <w:szCs w:val="22"/>
              </w:rPr>
              <w:t>5, 75</w:t>
            </w:r>
            <w:r w:rsidRPr="009640FE">
              <w:rPr>
                <w:rFonts w:cstheme="minorHAnsi"/>
                <w:szCs w:val="22"/>
              </w:rPr>
              <w:t xml:space="preserve"> ft</w:t>
            </w:r>
            <w:r w:rsidRPr="009640FE">
              <w:rPr>
                <w:rFonts w:cstheme="minorHAnsi"/>
                <w:szCs w:val="22"/>
                <w:vertAlign w:val="superscript"/>
              </w:rPr>
              <w:t>2</w:t>
            </w:r>
          </w:p>
        </w:tc>
      </w:tr>
      <w:tr w:rsidR="0064440D" w:rsidRPr="009640FE" w14:paraId="013C3464" w14:textId="77777777" w:rsidTr="0064440D">
        <w:tc>
          <w:tcPr>
            <w:tcW w:w="925" w:type="pct"/>
            <w:vAlign w:val="center"/>
          </w:tcPr>
          <w:p w14:paraId="1F9C0661"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HZO.RC.L</w:t>
            </w:r>
          </w:p>
        </w:tc>
        <w:tc>
          <w:tcPr>
            <w:tcW w:w="461" w:type="pct"/>
          </w:tcPr>
          <w:p w14:paraId="3FAD72BB" w14:textId="41C29A7E" w:rsidR="008B2439" w:rsidRPr="009640FE" w:rsidRDefault="008152CD" w:rsidP="008B2439">
            <w:pPr>
              <w:spacing w:before="20" w:after="20"/>
              <w:contextualSpacing/>
              <w:jc w:val="right"/>
              <w:rPr>
                <w:rFonts w:cstheme="minorHAnsi"/>
                <w:szCs w:val="22"/>
              </w:rPr>
            </w:pPr>
            <w:r>
              <w:t>219</w:t>
            </w:r>
          </w:p>
        </w:tc>
        <w:tc>
          <w:tcPr>
            <w:tcW w:w="695" w:type="pct"/>
            <w:vAlign w:val="center"/>
          </w:tcPr>
          <w:p w14:paraId="7C175250" w14:textId="77777777" w:rsidR="008B2439" w:rsidRPr="009640FE" w:rsidRDefault="008B2439" w:rsidP="008B2439">
            <w:pPr>
              <w:spacing w:before="20" w:after="20"/>
              <w:contextualSpacing/>
              <w:jc w:val="right"/>
              <w:rPr>
                <w:rFonts w:cstheme="minorHAnsi"/>
                <w:szCs w:val="22"/>
              </w:rPr>
            </w:pPr>
            <w:r w:rsidRPr="00B42628">
              <w:t>100%</w:t>
            </w:r>
          </w:p>
        </w:tc>
        <w:tc>
          <w:tcPr>
            <w:tcW w:w="695" w:type="pct"/>
            <w:vAlign w:val="center"/>
          </w:tcPr>
          <w:p w14:paraId="25BDB3DC" w14:textId="77777777" w:rsidR="008B2439" w:rsidRPr="009640FE" w:rsidRDefault="008B2439" w:rsidP="008B2439">
            <w:pPr>
              <w:spacing w:before="20" w:after="20"/>
              <w:contextualSpacing/>
              <w:jc w:val="right"/>
              <w:rPr>
                <w:rFonts w:cstheme="minorHAnsi"/>
                <w:szCs w:val="22"/>
              </w:rPr>
            </w:pPr>
            <w:r w:rsidRPr="00DF5795">
              <w:t>10%</w:t>
            </w:r>
          </w:p>
        </w:tc>
        <w:tc>
          <w:tcPr>
            <w:tcW w:w="770" w:type="pct"/>
            <w:vAlign w:val="center"/>
          </w:tcPr>
          <w:p w14:paraId="79A9CEDE" w14:textId="77777777" w:rsidR="008B2439" w:rsidRPr="009640FE" w:rsidRDefault="008B2439" w:rsidP="008B2439">
            <w:pPr>
              <w:spacing w:before="20" w:after="20"/>
              <w:contextualSpacing/>
              <w:jc w:val="right"/>
              <w:rPr>
                <w:rFonts w:cstheme="minorHAnsi"/>
                <w:szCs w:val="22"/>
              </w:rPr>
            </w:pPr>
            <w:r w:rsidRPr="009640FE">
              <w:rPr>
                <w:rFonts w:cstheme="minorHAnsi"/>
                <w:szCs w:val="22"/>
              </w:rPr>
              <w:t>10 ft</w:t>
            </w:r>
            <w:r w:rsidRPr="009640FE">
              <w:rPr>
                <w:rFonts w:cstheme="minorHAnsi"/>
                <w:szCs w:val="22"/>
                <w:vertAlign w:val="superscript"/>
              </w:rPr>
              <w:t>2</w:t>
            </w:r>
          </w:p>
        </w:tc>
        <w:tc>
          <w:tcPr>
            <w:tcW w:w="770" w:type="pct"/>
            <w:vAlign w:val="center"/>
          </w:tcPr>
          <w:p w14:paraId="02721396" w14:textId="77777777" w:rsidR="008B2439" w:rsidRDefault="008B2439" w:rsidP="008B2439">
            <w:pPr>
              <w:spacing w:before="20" w:after="20"/>
              <w:contextualSpacing/>
              <w:jc w:val="right"/>
              <w:rPr>
                <w:rFonts w:cstheme="minorHAnsi"/>
                <w:szCs w:val="22"/>
              </w:rPr>
            </w:pPr>
            <w:r>
              <w:rPr>
                <w:rFonts w:cstheme="minorHAnsi"/>
                <w:szCs w:val="22"/>
              </w:rPr>
              <w:t>90</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6D661B8F" w14:textId="77777777" w:rsidR="008B2439" w:rsidRPr="009640FE" w:rsidRDefault="008B2439" w:rsidP="008B2439">
            <w:pPr>
              <w:spacing w:before="20" w:after="20"/>
              <w:contextualSpacing/>
              <w:jc w:val="right"/>
              <w:rPr>
                <w:rFonts w:cstheme="minorHAnsi"/>
                <w:szCs w:val="22"/>
              </w:rPr>
            </w:pPr>
            <w:r>
              <w:rPr>
                <w:rFonts w:cstheme="minorHAnsi"/>
                <w:szCs w:val="22"/>
              </w:rPr>
              <w:t>35</w:t>
            </w:r>
            <w:r w:rsidRPr="009640FE">
              <w:rPr>
                <w:rFonts w:cstheme="minorHAnsi"/>
                <w:szCs w:val="22"/>
              </w:rPr>
              <w:t xml:space="preserve"> ft</w:t>
            </w:r>
            <w:r w:rsidRPr="009640FE">
              <w:rPr>
                <w:rFonts w:cstheme="minorHAnsi"/>
                <w:szCs w:val="22"/>
                <w:vertAlign w:val="superscript"/>
              </w:rPr>
              <w:t>2</w:t>
            </w:r>
          </w:p>
        </w:tc>
      </w:tr>
      <w:tr w:rsidR="0064440D" w:rsidRPr="009640FE" w14:paraId="3E062755" w14:textId="77777777" w:rsidTr="0064440D">
        <w:tc>
          <w:tcPr>
            <w:tcW w:w="925" w:type="pct"/>
            <w:vAlign w:val="center"/>
          </w:tcPr>
          <w:p w14:paraId="7DB2990C" w14:textId="77777777" w:rsidR="008B2439" w:rsidRPr="009640FE" w:rsidRDefault="008B2439" w:rsidP="008B2439">
            <w:pPr>
              <w:spacing w:before="20" w:after="20"/>
              <w:contextualSpacing/>
              <w:rPr>
                <w:rFonts w:cstheme="minorHAnsi"/>
                <w:color w:val="000000"/>
                <w:szCs w:val="22"/>
              </w:rPr>
            </w:pPr>
            <w:r>
              <w:rPr>
                <w:rFonts w:cstheme="minorHAnsi"/>
                <w:color w:val="000000"/>
                <w:szCs w:val="22"/>
              </w:rPr>
              <w:t>VCT.RC.M</w:t>
            </w:r>
          </w:p>
        </w:tc>
        <w:tc>
          <w:tcPr>
            <w:tcW w:w="461" w:type="pct"/>
          </w:tcPr>
          <w:p w14:paraId="47A64E75" w14:textId="61ADA452" w:rsidR="008B2439" w:rsidRPr="009640FE" w:rsidRDefault="008B2439" w:rsidP="008B2439">
            <w:pPr>
              <w:spacing w:before="20" w:after="20"/>
              <w:contextualSpacing/>
              <w:jc w:val="right"/>
              <w:rPr>
                <w:rFonts w:cstheme="minorHAnsi"/>
                <w:szCs w:val="22"/>
              </w:rPr>
            </w:pPr>
            <w:r w:rsidRPr="00E26E09">
              <w:t>3</w:t>
            </w:r>
            <w:r>
              <w:t>,</w:t>
            </w:r>
            <w:r w:rsidR="008152CD">
              <w:t>674</w:t>
            </w:r>
          </w:p>
        </w:tc>
        <w:tc>
          <w:tcPr>
            <w:tcW w:w="695" w:type="pct"/>
            <w:vAlign w:val="center"/>
          </w:tcPr>
          <w:p w14:paraId="521CAF80" w14:textId="77777777" w:rsidR="008B2439" w:rsidRPr="009640FE" w:rsidRDefault="008B2439" w:rsidP="008B2439">
            <w:pPr>
              <w:spacing w:before="20" w:after="20"/>
              <w:contextualSpacing/>
              <w:jc w:val="right"/>
              <w:rPr>
                <w:rFonts w:cstheme="minorHAnsi"/>
                <w:szCs w:val="22"/>
              </w:rPr>
            </w:pPr>
            <w:r w:rsidRPr="00B42628">
              <w:t>98%</w:t>
            </w:r>
          </w:p>
        </w:tc>
        <w:tc>
          <w:tcPr>
            <w:tcW w:w="695" w:type="pct"/>
            <w:vAlign w:val="center"/>
          </w:tcPr>
          <w:p w14:paraId="3185A8E7" w14:textId="5D85C1BE" w:rsidR="008B2439" w:rsidRPr="009640FE" w:rsidRDefault="008152CD" w:rsidP="008B2439">
            <w:pPr>
              <w:spacing w:before="20" w:after="20"/>
              <w:contextualSpacing/>
              <w:jc w:val="right"/>
              <w:rPr>
                <w:rFonts w:cstheme="minorHAnsi"/>
                <w:szCs w:val="22"/>
              </w:rPr>
            </w:pPr>
            <w:r w:rsidRPr="00DF5795">
              <w:t>2</w:t>
            </w:r>
            <w:r>
              <w:t>1</w:t>
            </w:r>
            <w:r w:rsidR="008B2439" w:rsidRPr="00DF5795">
              <w:t>%</w:t>
            </w:r>
          </w:p>
        </w:tc>
        <w:tc>
          <w:tcPr>
            <w:tcW w:w="770" w:type="pct"/>
            <w:vAlign w:val="center"/>
          </w:tcPr>
          <w:p w14:paraId="6FAD72DE" w14:textId="77777777" w:rsidR="008B2439" w:rsidRPr="009640FE" w:rsidRDefault="008B2439" w:rsidP="008B2439">
            <w:pPr>
              <w:spacing w:before="20" w:after="20"/>
              <w:contextualSpacing/>
              <w:jc w:val="right"/>
              <w:rPr>
                <w:rFonts w:cstheme="minorHAnsi"/>
                <w:szCs w:val="22"/>
              </w:rPr>
            </w:pPr>
            <w:r>
              <w:rPr>
                <w:rFonts w:cstheme="minorHAnsi"/>
                <w:szCs w:val="22"/>
              </w:rPr>
              <w:t>2 ft²</w:t>
            </w:r>
          </w:p>
        </w:tc>
        <w:tc>
          <w:tcPr>
            <w:tcW w:w="770" w:type="pct"/>
            <w:vAlign w:val="center"/>
          </w:tcPr>
          <w:p w14:paraId="6C1C9D64" w14:textId="77777777" w:rsidR="008B2439" w:rsidRDefault="008B2439" w:rsidP="008B2439">
            <w:pPr>
              <w:spacing w:before="20" w:after="20"/>
              <w:contextualSpacing/>
              <w:jc w:val="right"/>
              <w:rPr>
                <w:rFonts w:cstheme="minorHAnsi"/>
                <w:szCs w:val="22"/>
              </w:rPr>
            </w:pPr>
            <w:r>
              <w:rPr>
                <w:rFonts w:cstheme="minorHAnsi"/>
                <w:szCs w:val="22"/>
              </w:rPr>
              <w:t>161 ft²</w:t>
            </w:r>
          </w:p>
        </w:tc>
        <w:tc>
          <w:tcPr>
            <w:tcW w:w="684" w:type="pct"/>
            <w:vAlign w:val="center"/>
          </w:tcPr>
          <w:p w14:paraId="20CEF127" w14:textId="77777777" w:rsidR="008B2439" w:rsidRPr="009640FE" w:rsidRDefault="008B2439" w:rsidP="008B2439">
            <w:pPr>
              <w:spacing w:before="20" w:after="20"/>
              <w:contextualSpacing/>
              <w:jc w:val="right"/>
              <w:rPr>
                <w:rFonts w:cstheme="minorHAnsi"/>
                <w:szCs w:val="22"/>
              </w:rPr>
            </w:pPr>
            <w:r>
              <w:rPr>
                <w:rFonts w:cstheme="minorHAnsi"/>
                <w:szCs w:val="22"/>
              </w:rPr>
              <w:t>15, 50 ft²</w:t>
            </w:r>
          </w:p>
        </w:tc>
      </w:tr>
      <w:tr w:rsidR="0064440D" w:rsidRPr="009640FE" w14:paraId="48286C91" w14:textId="77777777" w:rsidTr="0064440D">
        <w:tc>
          <w:tcPr>
            <w:tcW w:w="925" w:type="pct"/>
            <w:vAlign w:val="center"/>
          </w:tcPr>
          <w:p w14:paraId="0D1FAA45"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VCT.RC.L</w:t>
            </w:r>
            <w:r>
              <w:rPr>
                <w:rFonts w:cstheme="minorHAnsi"/>
                <w:color w:val="000000"/>
                <w:szCs w:val="22"/>
              </w:rPr>
              <w:t>*</w:t>
            </w:r>
          </w:p>
        </w:tc>
        <w:tc>
          <w:tcPr>
            <w:tcW w:w="461" w:type="pct"/>
          </w:tcPr>
          <w:p w14:paraId="12D3C9FF" w14:textId="6F667BB3" w:rsidR="008B2439" w:rsidRPr="009640FE" w:rsidRDefault="008152CD" w:rsidP="008B2439">
            <w:pPr>
              <w:spacing w:before="20" w:after="20"/>
              <w:contextualSpacing/>
              <w:jc w:val="right"/>
              <w:rPr>
                <w:rFonts w:cstheme="minorHAnsi"/>
                <w:szCs w:val="22"/>
              </w:rPr>
            </w:pPr>
            <w:r>
              <w:t>648</w:t>
            </w:r>
          </w:p>
        </w:tc>
        <w:tc>
          <w:tcPr>
            <w:tcW w:w="695" w:type="pct"/>
            <w:vAlign w:val="center"/>
          </w:tcPr>
          <w:p w14:paraId="61F90690" w14:textId="77777777" w:rsidR="008B2439" w:rsidRPr="009640FE" w:rsidRDefault="008B2439" w:rsidP="008B2439">
            <w:pPr>
              <w:spacing w:before="20" w:after="20"/>
              <w:contextualSpacing/>
              <w:jc w:val="right"/>
              <w:rPr>
                <w:rFonts w:cstheme="minorHAnsi"/>
                <w:szCs w:val="22"/>
              </w:rPr>
            </w:pPr>
            <w:r w:rsidRPr="00B42628">
              <w:t>100%</w:t>
            </w:r>
          </w:p>
        </w:tc>
        <w:tc>
          <w:tcPr>
            <w:tcW w:w="695" w:type="pct"/>
            <w:vAlign w:val="center"/>
          </w:tcPr>
          <w:p w14:paraId="297DB4BB" w14:textId="49A46E86" w:rsidR="008B2439" w:rsidRPr="009640FE" w:rsidRDefault="005774B8" w:rsidP="008B2439">
            <w:pPr>
              <w:spacing w:before="20" w:after="20"/>
              <w:contextualSpacing/>
              <w:jc w:val="right"/>
              <w:rPr>
                <w:rFonts w:cstheme="minorHAnsi"/>
                <w:szCs w:val="22"/>
              </w:rPr>
            </w:pPr>
            <w:r>
              <w:t>7</w:t>
            </w:r>
            <w:r w:rsidR="008B2439" w:rsidRPr="00DF5795">
              <w:t>%</w:t>
            </w:r>
          </w:p>
        </w:tc>
        <w:tc>
          <w:tcPr>
            <w:tcW w:w="770" w:type="pct"/>
            <w:vAlign w:val="center"/>
          </w:tcPr>
          <w:p w14:paraId="568B2B6B" w14:textId="77777777" w:rsidR="008B2439" w:rsidRPr="009640FE" w:rsidRDefault="008B2439"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340D9EA2" w14:textId="77777777" w:rsidR="008B2439" w:rsidRDefault="008B2439" w:rsidP="008B2439">
            <w:pPr>
              <w:spacing w:before="20" w:after="20"/>
              <w:contextualSpacing/>
              <w:jc w:val="right"/>
              <w:rPr>
                <w:rFonts w:cstheme="minorHAnsi"/>
                <w:szCs w:val="22"/>
              </w:rPr>
            </w:pPr>
            <w:r>
              <w:rPr>
                <w:rFonts w:cstheme="minorHAnsi"/>
                <w:szCs w:val="22"/>
              </w:rPr>
              <w:t>161</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098B82DF" w14:textId="77777777" w:rsidR="008B2439" w:rsidRPr="009640FE" w:rsidRDefault="008B2439" w:rsidP="008B2439">
            <w:pPr>
              <w:spacing w:before="20" w:after="20"/>
              <w:contextualSpacing/>
              <w:jc w:val="right"/>
              <w:rPr>
                <w:rFonts w:cstheme="minorHAnsi"/>
                <w:szCs w:val="22"/>
              </w:rPr>
            </w:pPr>
            <w:r>
              <w:rPr>
                <w:rFonts w:cstheme="minorHAnsi"/>
                <w:szCs w:val="22"/>
              </w:rPr>
              <w:t>45</w:t>
            </w:r>
            <w:r w:rsidRPr="009640FE">
              <w:rPr>
                <w:rFonts w:cstheme="minorHAnsi"/>
                <w:szCs w:val="22"/>
              </w:rPr>
              <w:t xml:space="preserve"> ft</w:t>
            </w:r>
            <w:r w:rsidRPr="009640FE">
              <w:rPr>
                <w:rFonts w:cstheme="minorHAnsi"/>
                <w:szCs w:val="22"/>
                <w:vertAlign w:val="superscript"/>
              </w:rPr>
              <w:t>2</w:t>
            </w:r>
          </w:p>
        </w:tc>
      </w:tr>
      <w:tr w:rsidR="0064440D" w:rsidRPr="009640FE" w14:paraId="003A715E" w14:textId="77777777" w:rsidTr="0064440D">
        <w:tc>
          <w:tcPr>
            <w:tcW w:w="925" w:type="pct"/>
            <w:vAlign w:val="center"/>
          </w:tcPr>
          <w:p w14:paraId="51D9E26C"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HCT.SC.L</w:t>
            </w:r>
          </w:p>
        </w:tc>
        <w:tc>
          <w:tcPr>
            <w:tcW w:w="461" w:type="pct"/>
          </w:tcPr>
          <w:p w14:paraId="2ED02AB8" w14:textId="4430E51E" w:rsidR="008B2439" w:rsidRPr="009640FE" w:rsidRDefault="008152CD" w:rsidP="008B2439">
            <w:pPr>
              <w:spacing w:before="20" w:after="20"/>
              <w:contextualSpacing/>
              <w:jc w:val="right"/>
              <w:rPr>
                <w:rFonts w:cstheme="minorHAnsi"/>
                <w:szCs w:val="22"/>
              </w:rPr>
            </w:pPr>
            <w:r>
              <w:t>130</w:t>
            </w:r>
          </w:p>
        </w:tc>
        <w:tc>
          <w:tcPr>
            <w:tcW w:w="695" w:type="pct"/>
            <w:vAlign w:val="center"/>
          </w:tcPr>
          <w:p w14:paraId="03039463" w14:textId="22D292F5" w:rsidR="008B2439" w:rsidRPr="009640FE" w:rsidRDefault="008152CD" w:rsidP="008B2439">
            <w:pPr>
              <w:spacing w:before="20" w:after="20"/>
              <w:contextualSpacing/>
              <w:jc w:val="right"/>
              <w:rPr>
                <w:rFonts w:cstheme="minorHAnsi"/>
                <w:szCs w:val="22"/>
              </w:rPr>
            </w:pPr>
            <w:r w:rsidRPr="00B42628">
              <w:t>9</w:t>
            </w:r>
            <w:r>
              <w:t>8</w:t>
            </w:r>
            <w:r w:rsidR="008B2439" w:rsidRPr="00B42628">
              <w:t>%</w:t>
            </w:r>
          </w:p>
        </w:tc>
        <w:tc>
          <w:tcPr>
            <w:tcW w:w="695" w:type="pct"/>
            <w:vAlign w:val="center"/>
          </w:tcPr>
          <w:p w14:paraId="3B604EA4" w14:textId="035C796E" w:rsidR="008B2439" w:rsidRPr="009640FE" w:rsidRDefault="008152CD" w:rsidP="008B2439">
            <w:pPr>
              <w:spacing w:before="20" w:after="20"/>
              <w:contextualSpacing/>
              <w:jc w:val="right"/>
              <w:rPr>
                <w:rFonts w:cstheme="minorHAnsi"/>
                <w:szCs w:val="22"/>
              </w:rPr>
            </w:pPr>
            <w:r w:rsidRPr="00DF5795">
              <w:t>1</w:t>
            </w:r>
            <w:r>
              <w:t>8</w:t>
            </w:r>
            <w:r w:rsidR="008B2439" w:rsidRPr="00DF5795">
              <w:t>%</w:t>
            </w:r>
          </w:p>
        </w:tc>
        <w:tc>
          <w:tcPr>
            <w:tcW w:w="770" w:type="pct"/>
            <w:vAlign w:val="center"/>
          </w:tcPr>
          <w:p w14:paraId="78B5B7A7" w14:textId="78571D3B" w:rsidR="008B2439" w:rsidRPr="009640FE" w:rsidRDefault="00246A32"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w:t>
            </w:r>
            <w:r w:rsidR="008B2439" w:rsidRPr="009640FE">
              <w:rPr>
                <w:rFonts w:cstheme="minorHAnsi"/>
                <w:szCs w:val="22"/>
              </w:rPr>
              <w:t>ft</w:t>
            </w:r>
            <w:r w:rsidR="008B2439" w:rsidRPr="009640FE">
              <w:rPr>
                <w:rFonts w:cstheme="minorHAnsi"/>
                <w:szCs w:val="22"/>
                <w:vertAlign w:val="superscript"/>
              </w:rPr>
              <w:t>3</w:t>
            </w:r>
          </w:p>
        </w:tc>
        <w:tc>
          <w:tcPr>
            <w:tcW w:w="770" w:type="pct"/>
            <w:vAlign w:val="center"/>
          </w:tcPr>
          <w:p w14:paraId="6E537CD9" w14:textId="1C046A9F" w:rsidR="008B2439" w:rsidRDefault="00246A32" w:rsidP="008B2439">
            <w:pPr>
              <w:spacing w:before="20" w:after="20"/>
              <w:contextualSpacing/>
              <w:jc w:val="right"/>
              <w:rPr>
                <w:rFonts w:cstheme="minorHAnsi"/>
                <w:color w:val="000000"/>
                <w:szCs w:val="22"/>
              </w:rPr>
            </w:pPr>
            <w:r>
              <w:rPr>
                <w:rFonts w:cstheme="minorHAnsi"/>
                <w:szCs w:val="22"/>
              </w:rPr>
              <w:t>43</w:t>
            </w:r>
            <w:r w:rsidRPr="009640FE">
              <w:rPr>
                <w:rFonts w:cstheme="minorHAnsi"/>
                <w:szCs w:val="22"/>
              </w:rPr>
              <w:t xml:space="preserve"> </w:t>
            </w:r>
            <w:r w:rsidR="008B2439" w:rsidRPr="009640FE">
              <w:rPr>
                <w:rFonts w:cstheme="minorHAnsi"/>
                <w:szCs w:val="22"/>
              </w:rPr>
              <w:t>ft</w:t>
            </w:r>
            <w:r w:rsidR="008B2439" w:rsidRPr="009640FE">
              <w:rPr>
                <w:rFonts w:cstheme="minorHAnsi"/>
                <w:szCs w:val="22"/>
                <w:vertAlign w:val="superscript"/>
              </w:rPr>
              <w:t>3</w:t>
            </w:r>
          </w:p>
        </w:tc>
        <w:tc>
          <w:tcPr>
            <w:tcW w:w="684" w:type="pct"/>
            <w:vAlign w:val="center"/>
          </w:tcPr>
          <w:p w14:paraId="13E9825A" w14:textId="77777777" w:rsidR="008B2439" w:rsidRPr="009640FE" w:rsidRDefault="008B2439" w:rsidP="008B2439">
            <w:pPr>
              <w:spacing w:before="20" w:after="20"/>
              <w:contextualSpacing/>
              <w:jc w:val="right"/>
              <w:rPr>
                <w:rFonts w:cstheme="minorHAnsi"/>
                <w:szCs w:val="22"/>
              </w:rPr>
            </w:pPr>
            <w:r>
              <w:rPr>
                <w:rFonts w:cstheme="minorHAnsi"/>
                <w:color w:val="000000"/>
                <w:szCs w:val="22"/>
              </w:rPr>
              <w:t>20</w:t>
            </w:r>
            <w:r w:rsidRPr="009640FE">
              <w:rPr>
                <w:rFonts w:cstheme="minorHAnsi"/>
                <w:szCs w:val="22"/>
              </w:rPr>
              <w:t xml:space="preserve"> ft</w:t>
            </w:r>
            <w:r w:rsidRPr="009640FE">
              <w:rPr>
                <w:rFonts w:cstheme="minorHAnsi"/>
                <w:szCs w:val="22"/>
                <w:vertAlign w:val="superscript"/>
              </w:rPr>
              <w:t>3</w:t>
            </w:r>
          </w:p>
        </w:tc>
      </w:tr>
      <w:tr w:rsidR="0064440D" w:rsidRPr="009640FE" w14:paraId="093104BB" w14:textId="77777777" w:rsidTr="0064440D">
        <w:tc>
          <w:tcPr>
            <w:tcW w:w="925" w:type="pct"/>
            <w:vAlign w:val="center"/>
          </w:tcPr>
          <w:p w14:paraId="5D1BDF3D"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HCS.SC.M</w:t>
            </w:r>
          </w:p>
        </w:tc>
        <w:tc>
          <w:tcPr>
            <w:tcW w:w="461" w:type="pct"/>
          </w:tcPr>
          <w:p w14:paraId="11501AEE" w14:textId="707B1E71" w:rsidR="008B2439" w:rsidRPr="009640FE" w:rsidRDefault="008152CD" w:rsidP="008B2439">
            <w:pPr>
              <w:spacing w:before="20" w:after="20"/>
              <w:contextualSpacing/>
              <w:jc w:val="right"/>
              <w:rPr>
                <w:rFonts w:cstheme="minorHAnsi"/>
                <w:szCs w:val="22"/>
              </w:rPr>
            </w:pPr>
            <w:r>
              <w:t>246</w:t>
            </w:r>
          </w:p>
        </w:tc>
        <w:tc>
          <w:tcPr>
            <w:tcW w:w="695" w:type="pct"/>
            <w:vAlign w:val="center"/>
          </w:tcPr>
          <w:p w14:paraId="4925D050" w14:textId="3E4BB63C" w:rsidR="008B2439" w:rsidRPr="009640FE" w:rsidRDefault="008152CD" w:rsidP="008B2439">
            <w:pPr>
              <w:spacing w:before="20" w:after="20"/>
              <w:contextualSpacing/>
              <w:jc w:val="right"/>
              <w:rPr>
                <w:rFonts w:cstheme="minorHAnsi"/>
                <w:szCs w:val="22"/>
              </w:rPr>
            </w:pPr>
            <w:r w:rsidRPr="00B42628">
              <w:t>8</w:t>
            </w:r>
            <w:r>
              <w:t>5</w:t>
            </w:r>
            <w:r w:rsidR="008B2439" w:rsidRPr="00B42628">
              <w:t>%</w:t>
            </w:r>
          </w:p>
        </w:tc>
        <w:tc>
          <w:tcPr>
            <w:tcW w:w="695" w:type="pct"/>
            <w:vAlign w:val="center"/>
          </w:tcPr>
          <w:p w14:paraId="4AB55B36" w14:textId="799AE5E6" w:rsidR="008B2439" w:rsidRPr="009640FE" w:rsidRDefault="008152CD" w:rsidP="008B2439">
            <w:pPr>
              <w:spacing w:before="20" w:after="20"/>
              <w:contextualSpacing/>
              <w:jc w:val="right"/>
              <w:rPr>
                <w:rFonts w:cstheme="minorHAnsi"/>
                <w:szCs w:val="22"/>
              </w:rPr>
            </w:pPr>
            <w:r>
              <w:t>23</w:t>
            </w:r>
            <w:r w:rsidR="008B2439" w:rsidRPr="00DF5795">
              <w:t>%</w:t>
            </w:r>
          </w:p>
        </w:tc>
        <w:tc>
          <w:tcPr>
            <w:tcW w:w="770" w:type="pct"/>
            <w:vAlign w:val="center"/>
          </w:tcPr>
          <w:p w14:paraId="2A7911C4" w14:textId="77777777" w:rsidR="008B2439" w:rsidRPr="009640FE" w:rsidRDefault="008B2439" w:rsidP="008B2439">
            <w:pPr>
              <w:spacing w:before="20" w:after="20"/>
              <w:contextualSpacing/>
              <w:jc w:val="right"/>
              <w:rPr>
                <w:rFonts w:cstheme="minorHAnsi"/>
                <w:szCs w:val="22"/>
              </w:rPr>
            </w:pPr>
            <w:r>
              <w:rPr>
                <w:rFonts w:cstheme="minorHAnsi"/>
                <w:szCs w:val="22"/>
              </w:rPr>
              <w:t>2</w:t>
            </w:r>
            <w:r w:rsidRPr="009640FE">
              <w:rPr>
                <w:rFonts w:cstheme="minorHAnsi"/>
                <w:szCs w:val="22"/>
              </w:rPr>
              <w:t xml:space="preserve"> ft</w:t>
            </w:r>
            <w:r w:rsidRPr="009640FE">
              <w:rPr>
                <w:rFonts w:cstheme="minorHAnsi"/>
                <w:szCs w:val="22"/>
                <w:vertAlign w:val="superscript"/>
              </w:rPr>
              <w:t>3</w:t>
            </w:r>
          </w:p>
        </w:tc>
        <w:tc>
          <w:tcPr>
            <w:tcW w:w="770" w:type="pct"/>
            <w:vAlign w:val="center"/>
          </w:tcPr>
          <w:p w14:paraId="01AB5C4E" w14:textId="35B2E3D1" w:rsidR="008B2439" w:rsidRDefault="00246A32" w:rsidP="008B2439">
            <w:pPr>
              <w:spacing w:before="20" w:after="20"/>
              <w:contextualSpacing/>
              <w:jc w:val="right"/>
              <w:rPr>
                <w:rFonts w:cstheme="minorHAnsi"/>
                <w:color w:val="000000"/>
                <w:szCs w:val="22"/>
              </w:rPr>
            </w:pPr>
            <w:r>
              <w:rPr>
                <w:rFonts w:cstheme="minorHAnsi"/>
                <w:szCs w:val="22"/>
              </w:rPr>
              <w:t>31</w:t>
            </w:r>
            <w:r w:rsidRPr="009640FE">
              <w:rPr>
                <w:rFonts w:cstheme="minorHAnsi"/>
                <w:szCs w:val="22"/>
              </w:rPr>
              <w:t xml:space="preserve"> </w:t>
            </w:r>
            <w:r w:rsidR="008B2439" w:rsidRPr="009640FE">
              <w:rPr>
                <w:rFonts w:cstheme="minorHAnsi"/>
                <w:szCs w:val="22"/>
              </w:rPr>
              <w:t>ft</w:t>
            </w:r>
            <w:r w:rsidR="008B2439" w:rsidRPr="009640FE">
              <w:rPr>
                <w:rFonts w:cstheme="minorHAnsi"/>
                <w:szCs w:val="22"/>
                <w:vertAlign w:val="superscript"/>
              </w:rPr>
              <w:t>3</w:t>
            </w:r>
          </w:p>
        </w:tc>
        <w:tc>
          <w:tcPr>
            <w:tcW w:w="684" w:type="pct"/>
            <w:vAlign w:val="center"/>
          </w:tcPr>
          <w:p w14:paraId="2600D67B" w14:textId="77777777" w:rsidR="008B2439" w:rsidRPr="009640FE" w:rsidRDefault="008B2439" w:rsidP="008B2439">
            <w:pPr>
              <w:spacing w:before="20" w:after="20"/>
              <w:contextualSpacing/>
              <w:jc w:val="right"/>
              <w:rPr>
                <w:rFonts w:cstheme="minorHAnsi"/>
                <w:szCs w:val="22"/>
              </w:rPr>
            </w:pPr>
            <w:r>
              <w:rPr>
                <w:rFonts w:cstheme="minorHAnsi"/>
                <w:color w:val="000000"/>
                <w:szCs w:val="22"/>
              </w:rPr>
              <w:t>n/a</w:t>
            </w:r>
          </w:p>
        </w:tc>
      </w:tr>
      <w:tr w:rsidR="0064440D" w:rsidRPr="009640FE" w14:paraId="65D2A926" w14:textId="77777777" w:rsidTr="0064440D">
        <w:tc>
          <w:tcPr>
            <w:tcW w:w="925" w:type="pct"/>
            <w:vAlign w:val="center"/>
          </w:tcPr>
          <w:p w14:paraId="23FC7CA2"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HCT.SC.I</w:t>
            </w:r>
          </w:p>
        </w:tc>
        <w:tc>
          <w:tcPr>
            <w:tcW w:w="461" w:type="pct"/>
          </w:tcPr>
          <w:p w14:paraId="2846079A" w14:textId="2ADA9534" w:rsidR="008B2439" w:rsidRPr="009640FE" w:rsidRDefault="008152CD" w:rsidP="008B2439">
            <w:pPr>
              <w:spacing w:before="20" w:after="20"/>
              <w:contextualSpacing/>
              <w:jc w:val="right"/>
              <w:rPr>
                <w:rFonts w:cstheme="minorHAnsi"/>
                <w:szCs w:val="22"/>
              </w:rPr>
            </w:pPr>
            <w:r>
              <w:t>219</w:t>
            </w:r>
          </w:p>
        </w:tc>
        <w:tc>
          <w:tcPr>
            <w:tcW w:w="695" w:type="pct"/>
            <w:vAlign w:val="center"/>
          </w:tcPr>
          <w:p w14:paraId="219E73FE" w14:textId="77777777" w:rsidR="008B2439" w:rsidRPr="009640FE" w:rsidRDefault="008B2439" w:rsidP="008B2439">
            <w:pPr>
              <w:spacing w:before="20" w:after="20"/>
              <w:contextualSpacing/>
              <w:jc w:val="right"/>
              <w:rPr>
                <w:rFonts w:cstheme="minorHAnsi"/>
                <w:szCs w:val="22"/>
              </w:rPr>
            </w:pPr>
            <w:r w:rsidRPr="00B42628">
              <w:t>99%</w:t>
            </w:r>
          </w:p>
        </w:tc>
        <w:tc>
          <w:tcPr>
            <w:tcW w:w="695" w:type="pct"/>
            <w:vAlign w:val="center"/>
          </w:tcPr>
          <w:p w14:paraId="56D490F8" w14:textId="1E9AC249" w:rsidR="008B2439" w:rsidRPr="009640FE" w:rsidRDefault="008152CD" w:rsidP="008B2439">
            <w:pPr>
              <w:spacing w:before="20" w:after="20"/>
              <w:contextualSpacing/>
              <w:jc w:val="right"/>
              <w:rPr>
                <w:rFonts w:cstheme="minorHAnsi"/>
                <w:szCs w:val="22"/>
              </w:rPr>
            </w:pPr>
            <w:r>
              <w:t>22</w:t>
            </w:r>
            <w:r w:rsidR="008B2439" w:rsidRPr="00DF5795">
              <w:t>%</w:t>
            </w:r>
          </w:p>
        </w:tc>
        <w:tc>
          <w:tcPr>
            <w:tcW w:w="770" w:type="pct"/>
            <w:vAlign w:val="center"/>
          </w:tcPr>
          <w:p w14:paraId="33CA4EB0" w14:textId="77777777" w:rsidR="008B2439" w:rsidRPr="009640FE" w:rsidRDefault="008B2439" w:rsidP="008B2439">
            <w:pPr>
              <w:spacing w:before="20" w:after="20"/>
              <w:contextualSpacing/>
              <w:jc w:val="right"/>
              <w:rPr>
                <w:rFonts w:cstheme="minorHAnsi"/>
                <w:szCs w:val="22"/>
              </w:rPr>
            </w:pPr>
            <w:r>
              <w:rPr>
                <w:rFonts w:cstheme="minorHAnsi"/>
                <w:szCs w:val="22"/>
              </w:rPr>
              <w:t>2</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7339928C" w14:textId="7E32D4B9" w:rsidR="008B2439" w:rsidRDefault="00246A32" w:rsidP="008B2439">
            <w:pPr>
              <w:spacing w:before="20" w:after="20"/>
              <w:contextualSpacing/>
              <w:jc w:val="right"/>
              <w:rPr>
                <w:rFonts w:cstheme="minorHAnsi"/>
                <w:szCs w:val="22"/>
              </w:rPr>
            </w:pPr>
            <w:r>
              <w:rPr>
                <w:rFonts w:cstheme="minorHAnsi"/>
                <w:szCs w:val="22"/>
              </w:rPr>
              <w:t>21</w:t>
            </w:r>
            <w:r w:rsidRPr="009640FE">
              <w:rPr>
                <w:rFonts w:cstheme="minorHAnsi"/>
                <w:szCs w:val="22"/>
              </w:rPr>
              <w:t xml:space="preserve"> </w:t>
            </w:r>
            <w:r w:rsidR="008B2439" w:rsidRPr="009640FE">
              <w:rPr>
                <w:rFonts w:cstheme="minorHAnsi"/>
                <w:szCs w:val="22"/>
              </w:rPr>
              <w:t>ft</w:t>
            </w:r>
            <w:r w:rsidR="008B2439" w:rsidRPr="009640FE">
              <w:rPr>
                <w:rFonts w:cstheme="minorHAnsi"/>
                <w:szCs w:val="22"/>
                <w:vertAlign w:val="superscript"/>
              </w:rPr>
              <w:t>2</w:t>
            </w:r>
          </w:p>
        </w:tc>
        <w:tc>
          <w:tcPr>
            <w:tcW w:w="684" w:type="pct"/>
            <w:vAlign w:val="center"/>
          </w:tcPr>
          <w:p w14:paraId="02B7F22F" w14:textId="77777777" w:rsidR="008B2439" w:rsidRPr="009640FE" w:rsidRDefault="008B2439" w:rsidP="008B2439">
            <w:pPr>
              <w:spacing w:before="20" w:after="20"/>
              <w:contextualSpacing/>
              <w:jc w:val="right"/>
              <w:rPr>
                <w:rFonts w:cstheme="minorHAnsi"/>
                <w:szCs w:val="22"/>
              </w:rPr>
            </w:pPr>
            <w:r>
              <w:rPr>
                <w:rFonts w:cstheme="minorHAnsi"/>
                <w:szCs w:val="22"/>
              </w:rPr>
              <w:t>10</w:t>
            </w:r>
            <w:r w:rsidRPr="009640FE">
              <w:rPr>
                <w:rFonts w:cstheme="minorHAnsi"/>
                <w:szCs w:val="22"/>
              </w:rPr>
              <w:t xml:space="preserve"> ft</w:t>
            </w:r>
            <w:r w:rsidRPr="009640FE">
              <w:rPr>
                <w:rFonts w:cstheme="minorHAnsi"/>
                <w:szCs w:val="22"/>
                <w:vertAlign w:val="superscript"/>
              </w:rPr>
              <w:t>2</w:t>
            </w:r>
          </w:p>
        </w:tc>
      </w:tr>
      <w:tr w:rsidR="0064440D" w:rsidRPr="009640FE" w14:paraId="3E8C5AFA" w14:textId="77777777" w:rsidTr="0064440D">
        <w:tc>
          <w:tcPr>
            <w:tcW w:w="925" w:type="pct"/>
          </w:tcPr>
          <w:p w14:paraId="5DAFF9DC" w14:textId="77777777" w:rsidR="008B2439" w:rsidRPr="009640FE" w:rsidRDefault="008B2439" w:rsidP="008B2439">
            <w:pPr>
              <w:spacing w:before="20" w:after="20"/>
              <w:contextualSpacing/>
              <w:rPr>
                <w:rFonts w:cstheme="minorHAnsi"/>
                <w:color w:val="000000"/>
                <w:szCs w:val="22"/>
              </w:rPr>
            </w:pPr>
            <w:r w:rsidRPr="00475085">
              <w:t>VCS.SC.M</w:t>
            </w:r>
          </w:p>
        </w:tc>
        <w:tc>
          <w:tcPr>
            <w:tcW w:w="461" w:type="pct"/>
          </w:tcPr>
          <w:p w14:paraId="431162B6" w14:textId="7F17C6EC" w:rsidR="008B2439" w:rsidRPr="009640FE" w:rsidRDefault="008B2439" w:rsidP="008B2439">
            <w:pPr>
              <w:spacing w:before="20" w:after="20"/>
              <w:contextualSpacing/>
              <w:jc w:val="right"/>
              <w:rPr>
                <w:rFonts w:cstheme="minorHAnsi"/>
                <w:szCs w:val="22"/>
              </w:rPr>
            </w:pPr>
            <w:r w:rsidRPr="00E26E09">
              <w:t>2</w:t>
            </w:r>
            <w:r>
              <w:t>,</w:t>
            </w:r>
            <w:r w:rsidR="008152CD">
              <w:t>525</w:t>
            </w:r>
          </w:p>
        </w:tc>
        <w:tc>
          <w:tcPr>
            <w:tcW w:w="695" w:type="pct"/>
            <w:vAlign w:val="center"/>
          </w:tcPr>
          <w:p w14:paraId="0D04A847" w14:textId="4E37468B" w:rsidR="008B2439" w:rsidRPr="009640FE" w:rsidRDefault="008152CD" w:rsidP="008B2439">
            <w:pPr>
              <w:spacing w:before="20" w:after="20"/>
              <w:contextualSpacing/>
              <w:jc w:val="right"/>
              <w:rPr>
                <w:rFonts w:cstheme="minorHAnsi"/>
                <w:szCs w:val="22"/>
              </w:rPr>
            </w:pPr>
            <w:r w:rsidRPr="00B42628">
              <w:t>9</w:t>
            </w:r>
            <w:r>
              <w:t>6</w:t>
            </w:r>
            <w:r w:rsidR="008B2439" w:rsidRPr="00B42628">
              <w:t>%</w:t>
            </w:r>
          </w:p>
        </w:tc>
        <w:tc>
          <w:tcPr>
            <w:tcW w:w="695" w:type="pct"/>
            <w:vAlign w:val="center"/>
          </w:tcPr>
          <w:p w14:paraId="06B85C33" w14:textId="399A113F" w:rsidR="008B2439" w:rsidRPr="009640FE" w:rsidRDefault="008152CD" w:rsidP="008B2439">
            <w:pPr>
              <w:spacing w:before="20" w:after="20"/>
              <w:contextualSpacing/>
              <w:jc w:val="right"/>
              <w:rPr>
                <w:rFonts w:cstheme="minorHAnsi"/>
                <w:szCs w:val="22"/>
              </w:rPr>
            </w:pPr>
            <w:r>
              <w:t>23</w:t>
            </w:r>
            <w:r w:rsidR="008B2439" w:rsidRPr="00DF5795">
              <w:t>%</w:t>
            </w:r>
          </w:p>
        </w:tc>
        <w:tc>
          <w:tcPr>
            <w:tcW w:w="770" w:type="pct"/>
            <w:vAlign w:val="center"/>
          </w:tcPr>
          <w:p w14:paraId="69B5D10A" w14:textId="6694740D" w:rsidR="008B2439" w:rsidRPr="009640FE" w:rsidRDefault="008B2439" w:rsidP="008B2439">
            <w:pPr>
              <w:spacing w:before="20" w:after="20"/>
              <w:contextualSpacing/>
              <w:jc w:val="right"/>
              <w:rPr>
                <w:rFonts w:cstheme="minorHAnsi"/>
                <w:szCs w:val="22"/>
              </w:rPr>
            </w:pPr>
            <w:r>
              <w:rPr>
                <w:rFonts w:cstheme="minorHAnsi"/>
                <w:szCs w:val="22"/>
              </w:rPr>
              <w:t xml:space="preserve">1 </w:t>
            </w:r>
            <w:r w:rsidRPr="009640FE">
              <w:rPr>
                <w:rFonts w:cstheme="minorHAnsi"/>
                <w:szCs w:val="22"/>
              </w:rPr>
              <w:t>ft</w:t>
            </w:r>
            <w:r>
              <w:rPr>
                <w:rFonts w:cstheme="minorHAnsi"/>
                <w:szCs w:val="22"/>
                <w:vertAlign w:val="superscript"/>
              </w:rPr>
              <w:t>3</w:t>
            </w:r>
          </w:p>
        </w:tc>
        <w:tc>
          <w:tcPr>
            <w:tcW w:w="770" w:type="pct"/>
            <w:vAlign w:val="center"/>
          </w:tcPr>
          <w:p w14:paraId="7F215587" w14:textId="77777777" w:rsidR="008B2439" w:rsidRDefault="008B2439" w:rsidP="008B2439">
            <w:pPr>
              <w:spacing w:before="20" w:after="20"/>
              <w:contextualSpacing/>
              <w:jc w:val="right"/>
              <w:rPr>
                <w:rFonts w:cstheme="minorHAnsi"/>
                <w:color w:val="000000"/>
                <w:szCs w:val="22"/>
              </w:rPr>
            </w:pPr>
            <w:r>
              <w:rPr>
                <w:rFonts w:cstheme="minorHAnsi"/>
                <w:szCs w:val="22"/>
              </w:rPr>
              <w:t>121</w:t>
            </w:r>
            <w:r w:rsidRPr="009640FE">
              <w:rPr>
                <w:rFonts w:cstheme="minorHAnsi"/>
                <w:szCs w:val="22"/>
              </w:rPr>
              <w:t xml:space="preserve"> ft</w:t>
            </w:r>
            <w:r>
              <w:rPr>
                <w:rFonts w:cstheme="minorHAnsi"/>
                <w:szCs w:val="22"/>
                <w:vertAlign w:val="superscript"/>
              </w:rPr>
              <w:t>3</w:t>
            </w:r>
          </w:p>
        </w:tc>
        <w:tc>
          <w:tcPr>
            <w:tcW w:w="684" w:type="pct"/>
            <w:vAlign w:val="center"/>
          </w:tcPr>
          <w:p w14:paraId="3CDB27A3"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30</w:t>
            </w:r>
            <w:r w:rsidRPr="009640FE">
              <w:rPr>
                <w:rFonts w:cstheme="minorHAnsi"/>
                <w:szCs w:val="22"/>
              </w:rPr>
              <w:t xml:space="preserve"> ft</w:t>
            </w:r>
            <w:r>
              <w:rPr>
                <w:rFonts w:cstheme="minorHAnsi"/>
                <w:szCs w:val="22"/>
                <w:vertAlign w:val="superscript"/>
              </w:rPr>
              <w:t>3</w:t>
            </w:r>
          </w:p>
        </w:tc>
      </w:tr>
      <w:tr w:rsidR="0064440D" w:rsidRPr="009640FE" w14:paraId="510025B3" w14:textId="77777777" w:rsidTr="0064440D">
        <w:tc>
          <w:tcPr>
            <w:tcW w:w="925" w:type="pct"/>
          </w:tcPr>
          <w:p w14:paraId="298AFC98" w14:textId="77777777" w:rsidR="008B2439" w:rsidRPr="009640FE" w:rsidRDefault="008B2439" w:rsidP="008B2439">
            <w:pPr>
              <w:spacing w:before="20" w:after="20"/>
              <w:contextualSpacing/>
              <w:rPr>
                <w:rFonts w:cstheme="minorHAnsi"/>
                <w:color w:val="000000"/>
                <w:szCs w:val="22"/>
              </w:rPr>
            </w:pPr>
            <w:r w:rsidRPr="00475085">
              <w:t>HCS.SC.L</w:t>
            </w:r>
          </w:p>
        </w:tc>
        <w:tc>
          <w:tcPr>
            <w:tcW w:w="461" w:type="pct"/>
          </w:tcPr>
          <w:p w14:paraId="5409098A" w14:textId="68351294" w:rsidR="008B2439" w:rsidRPr="009640FE" w:rsidRDefault="008152CD" w:rsidP="008B2439">
            <w:pPr>
              <w:spacing w:before="20" w:after="20"/>
              <w:contextualSpacing/>
              <w:jc w:val="right"/>
              <w:rPr>
                <w:rFonts w:cstheme="minorHAnsi"/>
                <w:szCs w:val="22"/>
              </w:rPr>
            </w:pPr>
            <w:r>
              <w:t>92</w:t>
            </w:r>
          </w:p>
        </w:tc>
        <w:tc>
          <w:tcPr>
            <w:tcW w:w="695" w:type="pct"/>
            <w:vAlign w:val="center"/>
          </w:tcPr>
          <w:p w14:paraId="79BFE76B" w14:textId="57169B45" w:rsidR="008B2439" w:rsidRPr="009640FE" w:rsidRDefault="008152CD" w:rsidP="008B2439">
            <w:pPr>
              <w:spacing w:before="20" w:after="20"/>
              <w:contextualSpacing/>
              <w:jc w:val="right"/>
              <w:rPr>
                <w:rFonts w:cstheme="minorHAnsi"/>
                <w:szCs w:val="22"/>
              </w:rPr>
            </w:pPr>
            <w:r w:rsidRPr="00B42628">
              <w:t>9</w:t>
            </w:r>
            <w:r>
              <w:t>8</w:t>
            </w:r>
            <w:r w:rsidR="008B2439" w:rsidRPr="00B42628">
              <w:t>%</w:t>
            </w:r>
          </w:p>
        </w:tc>
        <w:tc>
          <w:tcPr>
            <w:tcW w:w="695" w:type="pct"/>
            <w:vAlign w:val="center"/>
          </w:tcPr>
          <w:p w14:paraId="521DF07A" w14:textId="194F884D" w:rsidR="008B2439" w:rsidRPr="009640FE" w:rsidRDefault="008152CD" w:rsidP="008B2439">
            <w:pPr>
              <w:spacing w:before="20" w:after="20"/>
              <w:contextualSpacing/>
              <w:jc w:val="right"/>
              <w:rPr>
                <w:rFonts w:cstheme="minorHAnsi"/>
                <w:szCs w:val="22"/>
              </w:rPr>
            </w:pPr>
            <w:r>
              <w:t>17</w:t>
            </w:r>
            <w:r w:rsidR="008B2439" w:rsidRPr="00DF5795">
              <w:t>%</w:t>
            </w:r>
          </w:p>
        </w:tc>
        <w:tc>
          <w:tcPr>
            <w:tcW w:w="770" w:type="pct"/>
            <w:vAlign w:val="center"/>
          </w:tcPr>
          <w:p w14:paraId="619F54DB" w14:textId="1B9495C9" w:rsidR="008B2439" w:rsidRPr="009640FE" w:rsidRDefault="008B2439" w:rsidP="008B2439">
            <w:pPr>
              <w:spacing w:before="20" w:after="20"/>
              <w:contextualSpacing/>
              <w:jc w:val="right"/>
              <w:rPr>
                <w:rFonts w:cstheme="minorHAnsi"/>
                <w:szCs w:val="22"/>
              </w:rPr>
            </w:pPr>
            <w:r>
              <w:rPr>
                <w:rFonts w:cstheme="minorHAnsi"/>
                <w:szCs w:val="22"/>
              </w:rPr>
              <w:t>0.</w:t>
            </w:r>
            <w:r w:rsidR="00246A32">
              <w:rPr>
                <w:rFonts w:cstheme="minorHAnsi"/>
                <w:szCs w:val="22"/>
              </w:rPr>
              <w:t>3</w:t>
            </w:r>
            <w:r w:rsidR="00246A32" w:rsidRPr="009640FE">
              <w:rPr>
                <w:rFonts w:cstheme="minorHAnsi"/>
                <w:szCs w:val="22"/>
              </w:rPr>
              <w:t xml:space="preserve"> </w:t>
            </w:r>
            <w:r w:rsidRPr="009640FE">
              <w:rPr>
                <w:rFonts w:cstheme="minorHAnsi"/>
                <w:szCs w:val="22"/>
              </w:rPr>
              <w:t>ft</w:t>
            </w:r>
            <w:r>
              <w:rPr>
                <w:rFonts w:cstheme="minorHAnsi"/>
                <w:szCs w:val="22"/>
                <w:vertAlign w:val="superscript"/>
              </w:rPr>
              <w:t>3</w:t>
            </w:r>
          </w:p>
        </w:tc>
        <w:tc>
          <w:tcPr>
            <w:tcW w:w="770" w:type="pct"/>
            <w:vAlign w:val="center"/>
          </w:tcPr>
          <w:p w14:paraId="38873BE9" w14:textId="5E104C6E" w:rsidR="008B2439" w:rsidRDefault="00246A32" w:rsidP="008B2439">
            <w:pPr>
              <w:spacing w:before="20" w:after="20"/>
              <w:contextualSpacing/>
              <w:jc w:val="right"/>
              <w:rPr>
                <w:rFonts w:cstheme="minorHAnsi"/>
                <w:color w:val="000000"/>
                <w:szCs w:val="22"/>
              </w:rPr>
            </w:pPr>
            <w:r>
              <w:rPr>
                <w:rFonts w:cstheme="minorHAnsi"/>
                <w:szCs w:val="22"/>
              </w:rPr>
              <w:t>27</w:t>
            </w:r>
            <w:r w:rsidRPr="009640FE">
              <w:rPr>
                <w:rFonts w:cstheme="minorHAnsi"/>
                <w:szCs w:val="22"/>
              </w:rPr>
              <w:t xml:space="preserve"> </w:t>
            </w:r>
            <w:r w:rsidR="008B2439" w:rsidRPr="009640FE">
              <w:rPr>
                <w:rFonts w:cstheme="minorHAnsi"/>
                <w:szCs w:val="22"/>
              </w:rPr>
              <w:t>ft</w:t>
            </w:r>
            <w:r w:rsidR="008B2439">
              <w:rPr>
                <w:rFonts w:cstheme="minorHAnsi"/>
                <w:szCs w:val="22"/>
                <w:vertAlign w:val="superscript"/>
              </w:rPr>
              <w:t>3</w:t>
            </w:r>
          </w:p>
        </w:tc>
        <w:tc>
          <w:tcPr>
            <w:tcW w:w="684" w:type="pct"/>
            <w:vAlign w:val="center"/>
          </w:tcPr>
          <w:p w14:paraId="37123821"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n/a</w:t>
            </w:r>
          </w:p>
        </w:tc>
      </w:tr>
      <w:tr w:rsidR="0064440D" w:rsidRPr="009640FE" w14:paraId="7F229DB2" w14:textId="77777777" w:rsidTr="0064440D">
        <w:tc>
          <w:tcPr>
            <w:tcW w:w="925" w:type="pct"/>
          </w:tcPr>
          <w:p w14:paraId="0DB32A75" w14:textId="77777777" w:rsidR="008B2439" w:rsidRPr="009640FE" w:rsidRDefault="008B2439" w:rsidP="008B2439">
            <w:pPr>
              <w:spacing w:before="20" w:after="20"/>
              <w:contextualSpacing/>
              <w:rPr>
                <w:rFonts w:cstheme="minorHAnsi"/>
                <w:color w:val="000000"/>
                <w:szCs w:val="22"/>
              </w:rPr>
            </w:pPr>
            <w:r w:rsidRPr="00475085">
              <w:t>VCS.SC.L</w:t>
            </w:r>
          </w:p>
        </w:tc>
        <w:tc>
          <w:tcPr>
            <w:tcW w:w="461" w:type="pct"/>
          </w:tcPr>
          <w:p w14:paraId="2D708998" w14:textId="3251044F" w:rsidR="008B2439" w:rsidRPr="009640FE" w:rsidRDefault="008152CD" w:rsidP="008B2439">
            <w:pPr>
              <w:spacing w:before="20" w:after="20"/>
              <w:contextualSpacing/>
              <w:jc w:val="right"/>
              <w:rPr>
                <w:rFonts w:cstheme="minorHAnsi"/>
                <w:szCs w:val="22"/>
              </w:rPr>
            </w:pPr>
            <w:r>
              <w:t>971</w:t>
            </w:r>
          </w:p>
        </w:tc>
        <w:tc>
          <w:tcPr>
            <w:tcW w:w="695" w:type="pct"/>
            <w:vAlign w:val="center"/>
          </w:tcPr>
          <w:p w14:paraId="515B63CF" w14:textId="691F1733" w:rsidR="008B2439" w:rsidRPr="009640FE" w:rsidRDefault="008152CD" w:rsidP="008B2439">
            <w:pPr>
              <w:spacing w:before="20" w:after="20"/>
              <w:contextualSpacing/>
              <w:jc w:val="right"/>
              <w:rPr>
                <w:rFonts w:cstheme="minorHAnsi"/>
                <w:szCs w:val="22"/>
              </w:rPr>
            </w:pPr>
            <w:r w:rsidRPr="00B42628">
              <w:t>9</w:t>
            </w:r>
            <w:r>
              <w:t>8</w:t>
            </w:r>
            <w:r w:rsidR="008B2439" w:rsidRPr="00B42628">
              <w:t>%</w:t>
            </w:r>
          </w:p>
        </w:tc>
        <w:tc>
          <w:tcPr>
            <w:tcW w:w="695" w:type="pct"/>
            <w:vAlign w:val="center"/>
          </w:tcPr>
          <w:p w14:paraId="3A10E300" w14:textId="68C9EAD3" w:rsidR="008B2439" w:rsidRPr="009640FE" w:rsidRDefault="008152CD" w:rsidP="008B2439">
            <w:pPr>
              <w:spacing w:before="20" w:after="20"/>
              <w:contextualSpacing/>
              <w:jc w:val="right"/>
              <w:rPr>
                <w:rFonts w:cstheme="minorHAnsi"/>
                <w:szCs w:val="22"/>
              </w:rPr>
            </w:pPr>
            <w:r w:rsidRPr="00DF5795">
              <w:t>1</w:t>
            </w:r>
            <w:r>
              <w:t>5</w:t>
            </w:r>
            <w:r w:rsidR="008B2439" w:rsidRPr="00DF5795">
              <w:t>%</w:t>
            </w:r>
          </w:p>
        </w:tc>
        <w:tc>
          <w:tcPr>
            <w:tcW w:w="770" w:type="pct"/>
            <w:vAlign w:val="center"/>
          </w:tcPr>
          <w:p w14:paraId="34E158EF" w14:textId="77777777" w:rsidR="008B2439" w:rsidRPr="009640FE" w:rsidRDefault="008B2439" w:rsidP="008B2439">
            <w:pPr>
              <w:spacing w:before="20" w:after="20"/>
              <w:contextualSpacing/>
              <w:jc w:val="right"/>
              <w:rPr>
                <w:rFonts w:cstheme="minorHAnsi"/>
                <w:szCs w:val="22"/>
              </w:rPr>
            </w:pPr>
            <w:r>
              <w:rPr>
                <w:rFonts w:cstheme="minorHAnsi"/>
                <w:szCs w:val="22"/>
              </w:rPr>
              <w:t>1.4</w:t>
            </w:r>
            <w:r w:rsidRPr="009640FE">
              <w:rPr>
                <w:rFonts w:cstheme="minorHAnsi"/>
                <w:szCs w:val="22"/>
              </w:rPr>
              <w:t xml:space="preserve"> ft</w:t>
            </w:r>
            <w:r>
              <w:rPr>
                <w:rFonts w:cstheme="minorHAnsi"/>
                <w:szCs w:val="22"/>
                <w:vertAlign w:val="superscript"/>
              </w:rPr>
              <w:t>3</w:t>
            </w:r>
          </w:p>
        </w:tc>
        <w:tc>
          <w:tcPr>
            <w:tcW w:w="770" w:type="pct"/>
            <w:vAlign w:val="center"/>
          </w:tcPr>
          <w:p w14:paraId="441D8BCF" w14:textId="25427EB0" w:rsidR="008B2439" w:rsidRDefault="00246A32" w:rsidP="008B2439">
            <w:pPr>
              <w:spacing w:before="20" w:after="20"/>
              <w:contextualSpacing/>
              <w:jc w:val="right"/>
              <w:rPr>
                <w:rFonts w:cstheme="minorHAnsi"/>
                <w:color w:val="000000"/>
                <w:szCs w:val="22"/>
              </w:rPr>
            </w:pPr>
            <w:r>
              <w:rPr>
                <w:rFonts w:cstheme="minorHAnsi"/>
                <w:szCs w:val="22"/>
              </w:rPr>
              <w:t>230</w:t>
            </w:r>
            <w:r w:rsidR="008B2439" w:rsidRPr="009640FE">
              <w:rPr>
                <w:rFonts w:cstheme="minorHAnsi"/>
                <w:szCs w:val="22"/>
              </w:rPr>
              <w:t xml:space="preserve"> ft</w:t>
            </w:r>
            <w:r w:rsidR="008B2439">
              <w:rPr>
                <w:rFonts w:cstheme="minorHAnsi"/>
                <w:szCs w:val="22"/>
                <w:vertAlign w:val="superscript"/>
              </w:rPr>
              <w:t>3</w:t>
            </w:r>
          </w:p>
        </w:tc>
        <w:tc>
          <w:tcPr>
            <w:tcW w:w="684" w:type="pct"/>
            <w:vAlign w:val="center"/>
          </w:tcPr>
          <w:p w14:paraId="3C896CE0"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 xml:space="preserve">30 </w:t>
            </w:r>
            <w:r w:rsidRPr="009640FE">
              <w:rPr>
                <w:rFonts w:cstheme="minorHAnsi"/>
                <w:szCs w:val="22"/>
              </w:rPr>
              <w:t>ft</w:t>
            </w:r>
            <w:r>
              <w:rPr>
                <w:rFonts w:cstheme="minorHAnsi"/>
                <w:szCs w:val="22"/>
                <w:vertAlign w:val="superscript"/>
              </w:rPr>
              <w:t>3</w:t>
            </w:r>
          </w:p>
        </w:tc>
      </w:tr>
      <w:tr w:rsidR="0064440D" w:rsidRPr="009640FE" w14:paraId="187058D4" w14:textId="77777777" w:rsidTr="0064440D">
        <w:tc>
          <w:tcPr>
            <w:tcW w:w="925" w:type="pct"/>
          </w:tcPr>
          <w:p w14:paraId="6E08AB13" w14:textId="77777777" w:rsidR="008B2439" w:rsidRPr="009640FE" w:rsidRDefault="008B2439" w:rsidP="008B2439">
            <w:pPr>
              <w:spacing w:before="20" w:after="20"/>
              <w:contextualSpacing/>
              <w:rPr>
                <w:rFonts w:cstheme="minorHAnsi"/>
                <w:color w:val="000000"/>
                <w:szCs w:val="22"/>
              </w:rPr>
            </w:pPr>
            <w:r w:rsidRPr="00475085">
              <w:t>HCT.SC.M</w:t>
            </w:r>
          </w:p>
        </w:tc>
        <w:tc>
          <w:tcPr>
            <w:tcW w:w="461" w:type="pct"/>
          </w:tcPr>
          <w:p w14:paraId="5D97EA04" w14:textId="0302FE35" w:rsidR="008B2439" w:rsidRPr="009640FE" w:rsidRDefault="008152CD" w:rsidP="008B2439">
            <w:pPr>
              <w:spacing w:before="20" w:after="20"/>
              <w:contextualSpacing/>
              <w:jc w:val="right"/>
              <w:rPr>
                <w:rFonts w:cstheme="minorHAnsi"/>
                <w:szCs w:val="22"/>
              </w:rPr>
            </w:pPr>
            <w:r>
              <w:t>36</w:t>
            </w:r>
          </w:p>
        </w:tc>
        <w:tc>
          <w:tcPr>
            <w:tcW w:w="695" w:type="pct"/>
            <w:vAlign w:val="center"/>
          </w:tcPr>
          <w:p w14:paraId="27F98DDF" w14:textId="24DEE9AF" w:rsidR="008B2439" w:rsidRPr="009640FE" w:rsidRDefault="008152CD" w:rsidP="008B2439">
            <w:pPr>
              <w:spacing w:before="20" w:after="20"/>
              <w:contextualSpacing/>
              <w:jc w:val="right"/>
              <w:rPr>
                <w:rFonts w:cstheme="minorHAnsi"/>
                <w:szCs w:val="22"/>
              </w:rPr>
            </w:pPr>
            <w:r w:rsidRPr="00B42628">
              <w:t>9</w:t>
            </w:r>
            <w:r>
              <w:t>7</w:t>
            </w:r>
            <w:r w:rsidR="008B2439" w:rsidRPr="00B42628">
              <w:t>%</w:t>
            </w:r>
          </w:p>
        </w:tc>
        <w:tc>
          <w:tcPr>
            <w:tcW w:w="695" w:type="pct"/>
            <w:vAlign w:val="center"/>
          </w:tcPr>
          <w:p w14:paraId="2BC46580" w14:textId="16B79B6C" w:rsidR="008B2439" w:rsidRPr="009640FE" w:rsidRDefault="008152CD" w:rsidP="008B2439">
            <w:pPr>
              <w:spacing w:before="20" w:after="20"/>
              <w:contextualSpacing/>
              <w:jc w:val="right"/>
              <w:rPr>
                <w:rFonts w:cstheme="minorHAnsi"/>
                <w:szCs w:val="22"/>
              </w:rPr>
            </w:pPr>
            <w:r w:rsidRPr="00DF5795">
              <w:t>2</w:t>
            </w:r>
            <w:r>
              <w:t>5</w:t>
            </w:r>
            <w:r w:rsidR="008B2439" w:rsidRPr="00DF5795">
              <w:t>%</w:t>
            </w:r>
          </w:p>
        </w:tc>
        <w:tc>
          <w:tcPr>
            <w:tcW w:w="770" w:type="pct"/>
            <w:vAlign w:val="center"/>
          </w:tcPr>
          <w:p w14:paraId="2876AFE6" w14:textId="77777777" w:rsidR="008B2439" w:rsidRPr="009640FE" w:rsidRDefault="008B2439" w:rsidP="008B2439">
            <w:pPr>
              <w:spacing w:before="20" w:after="20"/>
              <w:contextualSpacing/>
              <w:jc w:val="right"/>
              <w:rPr>
                <w:rFonts w:cstheme="minorHAnsi"/>
                <w:szCs w:val="22"/>
              </w:rPr>
            </w:pPr>
            <w:r>
              <w:rPr>
                <w:rFonts w:cstheme="minorHAnsi"/>
                <w:szCs w:val="22"/>
              </w:rPr>
              <w:t>1.6</w:t>
            </w:r>
            <w:r w:rsidRPr="009640FE">
              <w:rPr>
                <w:rFonts w:cstheme="minorHAnsi"/>
                <w:szCs w:val="22"/>
              </w:rPr>
              <w:t xml:space="preserve"> ft</w:t>
            </w:r>
            <w:r>
              <w:rPr>
                <w:rFonts w:cstheme="minorHAnsi"/>
                <w:szCs w:val="22"/>
                <w:vertAlign w:val="superscript"/>
              </w:rPr>
              <w:t>3</w:t>
            </w:r>
          </w:p>
        </w:tc>
        <w:tc>
          <w:tcPr>
            <w:tcW w:w="770" w:type="pct"/>
            <w:vAlign w:val="center"/>
          </w:tcPr>
          <w:p w14:paraId="6C46E092" w14:textId="4750FEB6" w:rsidR="008B2439" w:rsidRDefault="00246A32" w:rsidP="008B2439">
            <w:pPr>
              <w:spacing w:before="20" w:after="20"/>
              <w:contextualSpacing/>
              <w:jc w:val="right"/>
              <w:rPr>
                <w:rFonts w:cstheme="minorHAnsi"/>
                <w:color w:val="000000"/>
                <w:szCs w:val="22"/>
              </w:rPr>
            </w:pPr>
            <w:r>
              <w:rPr>
                <w:rFonts w:cstheme="minorHAnsi"/>
                <w:szCs w:val="22"/>
              </w:rPr>
              <w:t xml:space="preserve">50 </w:t>
            </w:r>
            <w:r w:rsidR="008B2439" w:rsidRPr="009640FE">
              <w:rPr>
                <w:rFonts w:cstheme="minorHAnsi"/>
                <w:szCs w:val="22"/>
              </w:rPr>
              <w:t>ft</w:t>
            </w:r>
            <w:r w:rsidR="008B2439">
              <w:rPr>
                <w:rFonts w:cstheme="minorHAnsi"/>
                <w:szCs w:val="22"/>
                <w:vertAlign w:val="superscript"/>
              </w:rPr>
              <w:t>3</w:t>
            </w:r>
          </w:p>
        </w:tc>
        <w:tc>
          <w:tcPr>
            <w:tcW w:w="684" w:type="pct"/>
            <w:vAlign w:val="center"/>
          </w:tcPr>
          <w:p w14:paraId="76222EF5"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n/a</w:t>
            </w:r>
          </w:p>
        </w:tc>
      </w:tr>
      <w:tr w:rsidR="0064440D" w:rsidRPr="009640FE" w14:paraId="75647AE1" w14:textId="77777777" w:rsidTr="0064440D">
        <w:tc>
          <w:tcPr>
            <w:tcW w:w="925" w:type="pct"/>
          </w:tcPr>
          <w:p w14:paraId="290C7F2E" w14:textId="77777777" w:rsidR="008B2439" w:rsidRPr="009640FE" w:rsidRDefault="008B2439" w:rsidP="008B2439">
            <w:pPr>
              <w:spacing w:before="20" w:after="20"/>
              <w:contextualSpacing/>
              <w:rPr>
                <w:rFonts w:cstheme="minorHAnsi"/>
                <w:color w:val="000000"/>
                <w:szCs w:val="22"/>
              </w:rPr>
            </w:pPr>
            <w:r w:rsidRPr="00475085">
              <w:t>VCT.SC.M</w:t>
            </w:r>
          </w:p>
        </w:tc>
        <w:tc>
          <w:tcPr>
            <w:tcW w:w="461" w:type="pct"/>
          </w:tcPr>
          <w:p w14:paraId="5F77CA19" w14:textId="094863A3" w:rsidR="008B2439" w:rsidRPr="009640FE" w:rsidRDefault="008152CD" w:rsidP="008B2439">
            <w:pPr>
              <w:spacing w:before="20" w:after="20"/>
              <w:contextualSpacing/>
              <w:jc w:val="right"/>
              <w:rPr>
                <w:rFonts w:cstheme="minorHAnsi"/>
                <w:szCs w:val="22"/>
              </w:rPr>
            </w:pPr>
            <w:r>
              <w:t>3</w:t>
            </w:r>
            <w:r w:rsidR="008B2439">
              <w:t>,</w:t>
            </w:r>
            <w:r w:rsidR="008B2439" w:rsidRPr="00E26E09">
              <w:t>223</w:t>
            </w:r>
          </w:p>
        </w:tc>
        <w:tc>
          <w:tcPr>
            <w:tcW w:w="695" w:type="pct"/>
            <w:vAlign w:val="center"/>
          </w:tcPr>
          <w:p w14:paraId="1190F860" w14:textId="39231DB0" w:rsidR="008B2439" w:rsidRPr="009640FE" w:rsidRDefault="008152CD" w:rsidP="008B2439">
            <w:pPr>
              <w:spacing w:before="20" w:after="20"/>
              <w:contextualSpacing/>
              <w:jc w:val="right"/>
              <w:rPr>
                <w:rFonts w:cstheme="minorHAnsi"/>
                <w:szCs w:val="22"/>
              </w:rPr>
            </w:pPr>
            <w:r w:rsidRPr="00B42628">
              <w:t>9</w:t>
            </w:r>
            <w:r>
              <w:t>7</w:t>
            </w:r>
            <w:r w:rsidR="008B2439" w:rsidRPr="00B42628">
              <w:t>%</w:t>
            </w:r>
          </w:p>
        </w:tc>
        <w:tc>
          <w:tcPr>
            <w:tcW w:w="695" w:type="pct"/>
            <w:vAlign w:val="center"/>
          </w:tcPr>
          <w:p w14:paraId="019545CF" w14:textId="1336A8A1" w:rsidR="008B2439" w:rsidRPr="009640FE" w:rsidRDefault="008152CD" w:rsidP="008B2439">
            <w:pPr>
              <w:spacing w:before="20" w:after="20"/>
              <w:contextualSpacing/>
              <w:jc w:val="right"/>
              <w:rPr>
                <w:rFonts w:cstheme="minorHAnsi"/>
                <w:szCs w:val="22"/>
              </w:rPr>
            </w:pPr>
            <w:r w:rsidRPr="00DF5795">
              <w:t>1</w:t>
            </w:r>
            <w:r>
              <w:t>4</w:t>
            </w:r>
            <w:r w:rsidR="008B2439" w:rsidRPr="00DF5795">
              <w:t>%</w:t>
            </w:r>
          </w:p>
        </w:tc>
        <w:tc>
          <w:tcPr>
            <w:tcW w:w="770" w:type="pct"/>
            <w:vAlign w:val="center"/>
          </w:tcPr>
          <w:p w14:paraId="56A3BBE3" w14:textId="77777777" w:rsidR="008B2439" w:rsidRPr="009640FE" w:rsidRDefault="008B2439" w:rsidP="008B2439">
            <w:pPr>
              <w:spacing w:before="20" w:after="20"/>
              <w:contextualSpacing/>
              <w:jc w:val="right"/>
              <w:rPr>
                <w:rFonts w:cstheme="minorHAnsi"/>
                <w:szCs w:val="22"/>
              </w:rPr>
            </w:pPr>
            <w:r>
              <w:rPr>
                <w:rFonts w:cstheme="minorHAnsi"/>
                <w:szCs w:val="22"/>
              </w:rPr>
              <w:t>0.4</w:t>
            </w:r>
            <w:r w:rsidRPr="009640FE">
              <w:rPr>
                <w:rFonts w:cstheme="minorHAnsi"/>
                <w:szCs w:val="22"/>
              </w:rPr>
              <w:t xml:space="preserve"> ft</w:t>
            </w:r>
            <w:r>
              <w:rPr>
                <w:rFonts w:cstheme="minorHAnsi"/>
                <w:szCs w:val="22"/>
                <w:vertAlign w:val="superscript"/>
              </w:rPr>
              <w:t>3</w:t>
            </w:r>
          </w:p>
        </w:tc>
        <w:tc>
          <w:tcPr>
            <w:tcW w:w="770" w:type="pct"/>
            <w:vAlign w:val="center"/>
          </w:tcPr>
          <w:p w14:paraId="626BDB51" w14:textId="32EFEB1A" w:rsidR="008B2439" w:rsidRDefault="00246A32" w:rsidP="008B2439">
            <w:pPr>
              <w:spacing w:before="20" w:after="20"/>
              <w:contextualSpacing/>
              <w:jc w:val="right"/>
              <w:rPr>
                <w:rFonts w:cstheme="minorHAnsi"/>
                <w:color w:val="000000"/>
                <w:szCs w:val="22"/>
              </w:rPr>
            </w:pPr>
            <w:r>
              <w:rPr>
                <w:rFonts w:cstheme="minorHAnsi"/>
                <w:szCs w:val="22"/>
              </w:rPr>
              <w:t>252</w:t>
            </w:r>
            <w:r w:rsidR="008B2439" w:rsidRPr="009640FE">
              <w:rPr>
                <w:rFonts w:cstheme="minorHAnsi"/>
                <w:szCs w:val="22"/>
              </w:rPr>
              <w:t xml:space="preserve"> ft</w:t>
            </w:r>
            <w:r w:rsidR="008B2439">
              <w:rPr>
                <w:rFonts w:cstheme="minorHAnsi"/>
                <w:szCs w:val="22"/>
                <w:vertAlign w:val="superscript"/>
              </w:rPr>
              <w:t>3</w:t>
            </w:r>
          </w:p>
        </w:tc>
        <w:tc>
          <w:tcPr>
            <w:tcW w:w="684" w:type="pct"/>
            <w:vAlign w:val="center"/>
          </w:tcPr>
          <w:p w14:paraId="5EC98E49"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15</w:t>
            </w:r>
            <w:r w:rsidRPr="009640FE">
              <w:rPr>
                <w:rFonts w:cstheme="minorHAnsi"/>
                <w:szCs w:val="22"/>
              </w:rPr>
              <w:t xml:space="preserve"> ft</w:t>
            </w:r>
            <w:r>
              <w:rPr>
                <w:rFonts w:cstheme="minorHAnsi"/>
                <w:szCs w:val="22"/>
                <w:vertAlign w:val="superscript"/>
              </w:rPr>
              <w:t>3</w:t>
            </w:r>
          </w:p>
        </w:tc>
      </w:tr>
      <w:tr w:rsidR="0064440D" w:rsidRPr="009640FE" w14:paraId="47EAC2B7" w14:textId="77777777" w:rsidTr="0064440D">
        <w:tc>
          <w:tcPr>
            <w:tcW w:w="925" w:type="pct"/>
          </w:tcPr>
          <w:p w14:paraId="2ACB0D50" w14:textId="77777777" w:rsidR="008B2439" w:rsidRPr="009640FE" w:rsidRDefault="008B2439" w:rsidP="008B2439">
            <w:pPr>
              <w:spacing w:before="20" w:after="20"/>
              <w:contextualSpacing/>
              <w:rPr>
                <w:rFonts w:cstheme="minorHAnsi"/>
                <w:color w:val="000000"/>
                <w:szCs w:val="22"/>
              </w:rPr>
            </w:pPr>
            <w:r w:rsidRPr="00475085">
              <w:t>VCT.SC.L</w:t>
            </w:r>
          </w:p>
        </w:tc>
        <w:tc>
          <w:tcPr>
            <w:tcW w:w="461" w:type="pct"/>
          </w:tcPr>
          <w:p w14:paraId="4ACA8E67" w14:textId="391B0A47" w:rsidR="008B2439" w:rsidRPr="009640FE" w:rsidRDefault="008152CD" w:rsidP="008B2439">
            <w:pPr>
              <w:spacing w:before="20" w:after="20"/>
              <w:contextualSpacing/>
              <w:jc w:val="right"/>
              <w:rPr>
                <w:rFonts w:cstheme="minorHAnsi"/>
                <w:szCs w:val="22"/>
              </w:rPr>
            </w:pPr>
            <w:r>
              <w:t>6</w:t>
            </w:r>
            <w:r w:rsidRPr="00E26E09">
              <w:t>9</w:t>
            </w:r>
            <w:r>
              <w:t>0</w:t>
            </w:r>
          </w:p>
        </w:tc>
        <w:tc>
          <w:tcPr>
            <w:tcW w:w="695" w:type="pct"/>
            <w:vAlign w:val="center"/>
          </w:tcPr>
          <w:p w14:paraId="57C5E52D" w14:textId="77777777" w:rsidR="008B2439" w:rsidRPr="009640FE" w:rsidRDefault="008B2439" w:rsidP="008B2439">
            <w:pPr>
              <w:spacing w:before="20" w:after="20"/>
              <w:contextualSpacing/>
              <w:jc w:val="right"/>
              <w:rPr>
                <w:rFonts w:cstheme="minorHAnsi"/>
                <w:szCs w:val="22"/>
              </w:rPr>
            </w:pPr>
            <w:r w:rsidRPr="00B42628">
              <w:t>98%</w:t>
            </w:r>
          </w:p>
        </w:tc>
        <w:tc>
          <w:tcPr>
            <w:tcW w:w="695" w:type="pct"/>
            <w:vAlign w:val="center"/>
          </w:tcPr>
          <w:p w14:paraId="5DF5CE6E" w14:textId="5D662AB8" w:rsidR="008B2439" w:rsidRPr="009640FE" w:rsidRDefault="008152CD" w:rsidP="008B2439">
            <w:pPr>
              <w:spacing w:before="20" w:after="20"/>
              <w:contextualSpacing/>
              <w:jc w:val="right"/>
              <w:rPr>
                <w:rFonts w:cstheme="minorHAnsi"/>
                <w:szCs w:val="22"/>
              </w:rPr>
            </w:pPr>
            <w:r w:rsidRPr="00DF5795">
              <w:t>1</w:t>
            </w:r>
            <w:r>
              <w:t>4</w:t>
            </w:r>
            <w:r w:rsidR="008B2439" w:rsidRPr="00DF5795">
              <w:t>%</w:t>
            </w:r>
          </w:p>
        </w:tc>
        <w:tc>
          <w:tcPr>
            <w:tcW w:w="770" w:type="pct"/>
            <w:vAlign w:val="center"/>
          </w:tcPr>
          <w:p w14:paraId="39FD3F0F" w14:textId="3381C862" w:rsidR="008B2439" w:rsidRPr="009640FE" w:rsidRDefault="00246A32" w:rsidP="008B2439">
            <w:pPr>
              <w:spacing w:before="20" w:after="20"/>
              <w:contextualSpacing/>
              <w:jc w:val="right"/>
              <w:rPr>
                <w:rFonts w:cstheme="minorHAnsi"/>
                <w:szCs w:val="22"/>
              </w:rPr>
            </w:pPr>
            <w:r>
              <w:rPr>
                <w:rFonts w:cstheme="minorHAnsi"/>
                <w:szCs w:val="22"/>
              </w:rPr>
              <w:t>0.9</w:t>
            </w:r>
            <w:r w:rsidR="008B2439" w:rsidRPr="009640FE">
              <w:rPr>
                <w:rFonts w:cstheme="minorHAnsi"/>
                <w:szCs w:val="22"/>
              </w:rPr>
              <w:t xml:space="preserve"> ft</w:t>
            </w:r>
            <w:r w:rsidR="008B2439">
              <w:rPr>
                <w:rFonts w:cstheme="minorHAnsi"/>
                <w:szCs w:val="22"/>
                <w:vertAlign w:val="superscript"/>
              </w:rPr>
              <w:t>3</w:t>
            </w:r>
          </w:p>
        </w:tc>
        <w:tc>
          <w:tcPr>
            <w:tcW w:w="770" w:type="pct"/>
            <w:vAlign w:val="center"/>
          </w:tcPr>
          <w:p w14:paraId="4368E7E8" w14:textId="77777777" w:rsidR="008B2439" w:rsidRDefault="008B2439" w:rsidP="008B2439">
            <w:pPr>
              <w:spacing w:before="20" w:after="20"/>
              <w:contextualSpacing/>
              <w:jc w:val="right"/>
              <w:rPr>
                <w:rFonts w:cstheme="minorHAnsi"/>
                <w:color w:val="000000"/>
                <w:szCs w:val="22"/>
              </w:rPr>
            </w:pPr>
            <w:r>
              <w:rPr>
                <w:rFonts w:cstheme="minorHAnsi"/>
                <w:szCs w:val="22"/>
              </w:rPr>
              <w:t>310</w:t>
            </w:r>
            <w:r w:rsidRPr="009640FE">
              <w:rPr>
                <w:rFonts w:cstheme="minorHAnsi"/>
                <w:szCs w:val="22"/>
              </w:rPr>
              <w:t xml:space="preserve"> ft</w:t>
            </w:r>
            <w:r>
              <w:rPr>
                <w:rFonts w:cstheme="minorHAnsi"/>
                <w:szCs w:val="22"/>
                <w:vertAlign w:val="superscript"/>
              </w:rPr>
              <w:t>3</w:t>
            </w:r>
          </w:p>
        </w:tc>
        <w:tc>
          <w:tcPr>
            <w:tcW w:w="684" w:type="pct"/>
            <w:vAlign w:val="center"/>
          </w:tcPr>
          <w:p w14:paraId="2A9597BC"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15, 75</w:t>
            </w:r>
            <w:r w:rsidRPr="009640FE">
              <w:rPr>
                <w:rFonts w:cstheme="minorHAnsi"/>
                <w:szCs w:val="22"/>
              </w:rPr>
              <w:t xml:space="preserve"> ft</w:t>
            </w:r>
            <w:r>
              <w:rPr>
                <w:rFonts w:cstheme="minorHAnsi"/>
                <w:szCs w:val="22"/>
                <w:vertAlign w:val="superscript"/>
              </w:rPr>
              <w:t>3</w:t>
            </w:r>
          </w:p>
        </w:tc>
      </w:tr>
      <w:tr w:rsidR="005D7E8D" w:rsidRPr="009640FE" w14:paraId="2ECDF91D" w14:textId="77777777" w:rsidTr="0064440D">
        <w:tc>
          <w:tcPr>
            <w:tcW w:w="925" w:type="pct"/>
          </w:tcPr>
          <w:p w14:paraId="69C53A3E" w14:textId="44EEB701" w:rsidR="005D7E8D" w:rsidRPr="00475085" w:rsidRDefault="005D7E8D" w:rsidP="008B2439">
            <w:pPr>
              <w:spacing w:before="20" w:after="20"/>
              <w:contextualSpacing/>
            </w:pPr>
            <w:r w:rsidRPr="005D7E8D">
              <w:t>SOC.RC.M</w:t>
            </w:r>
          </w:p>
        </w:tc>
        <w:tc>
          <w:tcPr>
            <w:tcW w:w="461" w:type="pct"/>
          </w:tcPr>
          <w:p w14:paraId="4E585E00" w14:textId="0E4E2CEA" w:rsidR="005D7E8D" w:rsidRPr="00E26E09" w:rsidDel="008152CD" w:rsidRDefault="005D7E8D" w:rsidP="008B2439">
            <w:pPr>
              <w:spacing w:before="20" w:after="20"/>
              <w:contextualSpacing/>
              <w:jc w:val="right"/>
            </w:pPr>
            <w:r>
              <w:t>1,416</w:t>
            </w:r>
          </w:p>
        </w:tc>
        <w:tc>
          <w:tcPr>
            <w:tcW w:w="695" w:type="pct"/>
            <w:vAlign w:val="center"/>
          </w:tcPr>
          <w:p w14:paraId="2F1AFB0C" w14:textId="000350EC" w:rsidR="005D7E8D" w:rsidRPr="00B42628" w:rsidRDefault="005D7E8D" w:rsidP="008B2439">
            <w:pPr>
              <w:spacing w:before="20" w:after="20"/>
              <w:contextualSpacing/>
              <w:jc w:val="right"/>
            </w:pPr>
            <w:r>
              <w:t>93%</w:t>
            </w:r>
          </w:p>
        </w:tc>
        <w:tc>
          <w:tcPr>
            <w:tcW w:w="695" w:type="pct"/>
            <w:vAlign w:val="center"/>
          </w:tcPr>
          <w:p w14:paraId="391DB50E" w14:textId="2E57BD9A" w:rsidR="005D7E8D" w:rsidRPr="00DF5795" w:rsidDel="008152CD" w:rsidRDefault="005D7E8D" w:rsidP="008B2439">
            <w:pPr>
              <w:spacing w:before="20" w:after="20"/>
              <w:contextualSpacing/>
              <w:jc w:val="right"/>
            </w:pPr>
            <w:r>
              <w:t>20%</w:t>
            </w:r>
          </w:p>
        </w:tc>
        <w:tc>
          <w:tcPr>
            <w:tcW w:w="770" w:type="pct"/>
            <w:vAlign w:val="center"/>
          </w:tcPr>
          <w:p w14:paraId="43B7AEAE" w14:textId="415BCE13" w:rsidR="005D7E8D" w:rsidDel="00246A32" w:rsidRDefault="005D7E8D" w:rsidP="008B2439">
            <w:pPr>
              <w:spacing w:before="20" w:after="20"/>
              <w:contextualSpacing/>
              <w:jc w:val="right"/>
              <w:rPr>
                <w:rFonts w:cstheme="minorHAnsi"/>
                <w:szCs w:val="22"/>
              </w:rPr>
            </w:pPr>
            <w:r>
              <w:rPr>
                <w:rFonts w:cstheme="minorHAnsi"/>
                <w:szCs w:val="22"/>
              </w:rPr>
              <w:t xml:space="preserve">4 </w:t>
            </w:r>
            <w:r w:rsidRPr="009640FE">
              <w:rPr>
                <w:rFonts w:cstheme="minorHAnsi"/>
                <w:szCs w:val="22"/>
              </w:rPr>
              <w:t>ft</w:t>
            </w:r>
            <w:r>
              <w:rPr>
                <w:rFonts w:cstheme="minorHAnsi"/>
                <w:szCs w:val="22"/>
                <w:vertAlign w:val="superscript"/>
              </w:rPr>
              <w:t>3</w:t>
            </w:r>
          </w:p>
        </w:tc>
        <w:tc>
          <w:tcPr>
            <w:tcW w:w="770" w:type="pct"/>
            <w:vAlign w:val="center"/>
          </w:tcPr>
          <w:p w14:paraId="78B525D2" w14:textId="52EA083A" w:rsidR="005D7E8D" w:rsidRDefault="005D7E8D" w:rsidP="008B2439">
            <w:pPr>
              <w:spacing w:before="20" w:after="20"/>
              <w:contextualSpacing/>
              <w:jc w:val="right"/>
              <w:rPr>
                <w:rFonts w:cstheme="minorHAnsi"/>
                <w:szCs w:val="22"/>
              </w:rPr>
            </w:pPr>
            <w:r>
              <w:rPr>
                <w:rFonts w:cstheme="minorHAnsi"/>
                <w:szCs w:val="22"/>
              </w:rPr>
              <w:t xml:space="preserve">91 </w:t>
            </w:r>
            <w:r w:rsidRPr="009640FE">
              <w:rPr>
                <w:rFonts w:cstheme="minorHAnsi"/>
                <w:szCs w:val="22"/>
              </w:rPr>
              <w:t>ft</w:t>
            </w:r>
            <w:r>
              <w:rPr>
                <w:rFonts w:cstheme="minorHAnsi"/>
                <w:szCs w:val="22"/>
                <w:vertAlign w:val="superscript"/>
              </w:rPr>
              <w:t>3</w:t>
            </w:r>
          </w:p>
        </w:tc>
        <w:tc>
          <w:tcPr>
            <w:tcW w:w="684" w:type="pct"/>
            <w:vAlign w:val="center"/>
          </w:tcPr>
          <w:p w14:paraId="5878D69C" w14:textId="36371E19" w:rsidR="005D7E8D" w:rsidRDefault="00965D4E" w:rsidP="008B2439">
            <w:pPr>
              <w:spacing w:before="20" w:after="20"/>
              <w:contextualSpacing/>
              <w:jc w:val="right"/>
              <w:rPr>
                <w:rFonts w:cstheme="minorHAnsi"/>
                <w:color w:val="000000"/>
                <w:szCs w:val="22"/>
              </w:rPr>
            </w:pPr>
            <w:r>
              <w:rPr>
                <w:rFonts w:cstheme="minorHAnsi"/>
                <w:color w:val="000000"/>
                <w:szCs w:val="22"/>
              </w:rPr>
              <w:t>5</w:t>
            </w:r>
            <w:r w:rsidR="005D7E8D">
              <w:rPr>
                <w:rFonts w:cstheme="minorHAnsi"/>
                <w:color w:val="000000"/>
                <w:szCs w:val="22"/>
              </w:rPr>
              <w:t>0</w:t>
            </w:r>
            <w:r w:rsidR="005D7E8D" w:rsidRPr="009640FE">
              <w:rPr>
                <w:rFonts w:cstheme="minorHAnsi"/>
                <w:szCs w:val="22"/>
              </w:rPr>
              <w:t xml:space="preserve"> ft</w:t>
            </w:r>
            <w:r w:rsidR="005D7E8D">
              <w:rPr>
                <w:rFonts w:cstheme="minorHAnsi"/>
                <w:szCs w:val="22"/>
                <w:vertAlign w:val="superscript"/>
              </w:rPr>
              <w:t>3</w:t>
            </w:r>
          </w:p>
        </w:tc>
      </w:tr>
      <w:tr w:rsidR="005D7E8D" w:rsidRPr="009640FE" w14:paraId="0F8AB736" w14:textId="77777777" w:rsidTr="0064440D">
        <w:tc>
          <w:tcPr>
            <w:tcW w:w="925" w:type="pct"/>
          </w:tcPr>
          <w:p w14:paraId="2CB4C532" w14:textId="3CB75444" w:rsidR="005D7E8D" w:rsidRPr="00475085" w:rsidRDefault="005D7E8D" w:rsidP="008B2439">
            <w:pPr>
              <w:spacing w:before="20" w:after="20"/>
              <w:contextualSpacing/>
            </w:pPr>
            <w:r w:rsidRPr="005D7E8D">
              <w:t>SOC.SC.M</w:t>
            </w:r>
          </w:p>
        </w:tc>
        <w:tc>
          <w:tcPr>
            <w:tcW w:w="461" w:type="pct"/>
          </w:tcPr>
          <w:p w14:paraId="2DFDD872" w14:textId="7955F596" w:rsidR="005D7E8D" w:rsidRPr="00E26E09" w:rsidDel="008152CD" w:rsidRDefault="005D7E8D" w:rsidP="008B2439">
            <w:pPr>
              <w:spacing w:before="20" w:after="20"/>
              <w:contextualSpacing/>
              <w:jc w:val="right"/>
            </w:pPr>
            <w:r>
              <w:t>579</w:t>
            </w:r>
          </w:p>
        </w:tc>
        <w:tc>
          <w:tcPr>
            <w:tcW w:w="695" w:type="pct"/>
            <w:vAlign w:val="center"/>
          </w:tcPr>
          <w:p w14:paraId="7E65599D" w14:textId="4FFCF972" w:rsidR="005D7E8D" w:rsidRPr="00B42628" w:rsidRDefault="005D7E8D" w:rsidP="008B2439">
            <w:pPr>
              <w:spacing w:before="20" w:after="20"/>
              <w:contextualSpacing/>
              <w:jc w:val="right"/>
            </w:pPr>
            <w:r>
              <w:t>98%</w:t>
            </w:r>
          </w:p>
        </w:tc>
        <w:tc>
          <w:tcPr>
            <w:tcW w:w="695" w:type="pct"/>
            <w:vAlign w:val="center"/>
          </w:tcPr>
          <w:p w14:paraId="112BD1D3" w14:textId="61668327" w:rsidR="005D7E8D" w:rsidRPr="00DF5795" w:rsidDel="008152CD" w:rsidRDefault="005D7E8D" w:rsidP="008B2439">
            <w:pPr>
              <w:spacing w:before="20" w:after="20"/>
              <w:contextualSpacing/>
              <w:jc w:val="right"/>
            </w:pPr>
            <w:r>
              <w:t>22%</w:t>
            </w:r>
          </w:p>
        </w:tc>
        <w:tc>
          <w:tcPr>
            <w:tcW w:w="770" w:type="pct"/>
            <w:vAlign w:val="center"/>
          </w:tcPr>
          <w:p w14:paraId="591D53CF" w14:textId="0FBB63F5" w:rsidR="005D7E8D" w:rsidDel="00246A32" w:rsidRDefault="005D7E8D" w:rsidP="008B2439">
            <w:pPr>
              <w:spacing w:before="20" w:after="20"/>
              <w:contextualSpacing/>
              <w:jc w:val="right"/>
              <w:rPr>
                <w:rFonts w:cstheme="minorHAnsi"/>
                <w:szCs w:val="22"/>
              </w:rPr>
            </w:pPr>
            <w:r>
              <w:rPr>
                <w:rFonts w:cstheme="minorHAnsi"/>
                <w:szCs w:val="22"/>
              </w:rPr>
              <w:t xml:space="preserve">2 </w:t>
            </w:r>
            <w:r w:rsidRPr="009640FE">
              <w:rPr>
                <w:rFonts w:cstheme="minorHAnsi"/>
                <w:szCs w:val="22"/>
              </w:rPr>
              <w:t>ft</w:t>
            </w:r>
            <w:r>
              <w:rPr>
                <w:rFonts w:cstheme="minorHAnsi"/>
                <w:szCs w:val="22"/>
                <w:vertAlign w:val="superscript"/>
              </w:rPr>
              <w:t>3</w:t>
            </w:r>
          </w:p>
        </w:tc>
        <w:tc>
          <w:tcPr>
            <w:tcW w:w="770" w:type="pct"/>
            <w:vAlign w:val="center"/>
          </w:tcPr>
          <w:p w14:paraId="552502F7" w14:textId="7CA5F7A5" w:rsidR="005D7E8D" w:rsidRDefault="005D7E8D" w:rsidP="008B2439">
            <w:pPr>
              <w:spacing w:before="20" w:after="20"/>
              <w:contextualSpacing/>
              <w:jc w:val="right"/>
              <w:rPr>
                <w:rFonts w:cstheme="minorHAnsi"/>
                <w:szCs w:val="22"/>
              </w:rPr>
            </w:pPr>
            <w:r>
              <w:rPr>
                <w:rFonts w:cstheme="minorHAnsi"/>
                <w:szCs w:val="22"/>
              </w:rPr>
              <w:t xml:space="preserve">55 </w:t>
            </w:r>
            <w:r w:rsidRPr="009640FE">
              <w:rPr>
                <w:rFonts w:cstheme="minorHAnsi"/>
                <w:szCs w:val="22"/>
              </w:rPr>
              <w:t>ft</w:t>
            </w:r>
            <w:r>
              <w:rPr>
                <w:rFonts w:cstheme="minorHAnsi"/>
                <w:szCs w:val="22"/>
                <w:vertAlign w:val="superscript"/>
              </w:rPr>
              <w:t>3</w:t>
            </w:r>
          </w:p>
        </w:tc>
        <w:tc>
          <w:tcPr>
            <w:tcW w:w="684" w:type="pct"/>
            <w:vAlign w:val="center"/>
          </w:tcPr>
          <w:p w14:paraId="07EFA49C" w14:textId="65F185C9" w:rsidR="005D7E8D" w:rsidRDefault="00FD62D2" w:rsidP="008B2439">
            <w:pPr>
              <w:spacing w:before="20" w:after="20"/>
              <w:contextualSpacing/>
              <w:jc w:val="right"/>
              <w:rPr>
                <w:rFonts w:cstheme="minorHAnsi"/>
                <w:color w:val="000000"/>
                <w:szCs w:val="22"/>
              </w:rPr>
            </w:pPr>
            <w:r>
              <w:rPr>
                <w:rFonts w:cstheme="minorHAnsi"/>
                <w:color w:val="000000"/>
                <w:szCs w:val="22"/>
              </w:rPr>
              <w:t>n/a</w:t>
            </w:r>
          </w:p>
        </w:tc>
      </w:tr>
      <w:tr w:rsidR="005D7E8D" w:rsidRPr="009640FE" w14:paraId="2E7A61B8" w14:textId="77777777" w:rsidTr="0064440D">
        <w:tc>
          <w:tcPr>
            <w:tcW w:w="925" w:type="pct"/>
          </w:tcPr>
          <w:p w14:paraId="508B6B94" w14:textId="307C3FC6" w:rsidR="005D7E8D" w:rsidRPr="00475085" w:rsidRDefault="005D7E8D" w:rsidP="008B2439">
            <w:pPr>
              <w:spacing w:before="20" w:after="20"/>
              <w:contextualSpacing/>
            </w:pPr>
            <w:r w:rsidRPr="005D7E8D">
              <w:t>SVO.SC.M</w:t>
            </w:r>
          </w:p>
        </w:tc>
        <w:tc>
          <w:tcPr>
            <w:tcW w:w="461" w:type="pct"/>
          </w:tcPr>
          <w:p w14:paraId="0FAADAFF" w14:textId="4059DC70" w:rsidR="005D7E8D" w:rsidRPr="00E26E09" w:rsidDel="008152CD" w:rsidRDefault="005D7E8D" w:rsidP="008B2439">
            <w:pPr>
              <w:spacing w:before="20" w:after="20"/>
              <w:contextualSpacing/>
              <w:jc w:val="right"/>
            </w:pPr>
            <w:r>
              <w:t>1,343</w:t>
            </w:r>
          </w:p>
        </w:tc>
        <w:tc>
          <w:tcPr>
            <w:tcW w:w="695" w:type="pct"/>
            <w:vAlign w:val="center"/>
          </w:tcPr>
          <w:p w14:paraId="28A02508" w14:textId="52A5CAB2" w:rsidR="005D7E8D" w:rsidRPr="00B42628" w:rsidRDefault="005D7E8D" w:rsidP="008B2439">
            <w:pPr>
              <w:spacing w:before="20" w:after="20"/>
              <w:contextualSpacing/>
              <w:jc w:val="right"/>
            </w:pPr>
            <w:r>
              <w:t>100%</w:t>
            </w:r>
          </w:p>
        </w:tc>
        <w:tc>
          <w:tcPr>
            <w:tcW w:w="695" w:type="pct"/>
            <w:vAlign w:val="center"/>
          </w:tcPr>
          <w:p w14:paraId="22B966D2" w14:textId="362EC915" w:rsidR="005D7E8D" w:rsidRPr="00DF5795" w:rsidDel="008152CD" w:rsidRDefault="005D7E8D" w:rsidP="008B2439">
            <w:pPr>
              <w:spacing w:before="20" w:after="20"/>
              <w:contextualSpacing/>
              <w:jc w:val="right"/>
            </w:pPr>
            <w:r>
              <w:t>15%</w:t>
            </w:r>
          </w:p>
        </w:tc>
        <w:tc>
          <w:tcPr>
            <w:tcW w:w="770" w:type="pct"/>
            <w:vAlign w:val="center"/>
          </w:tcPr>
          <w:p w14:paraId="3DAA41A2" w14:textId="5F8B0E6D" w:rsidR="005D7E8D" w:rsidDel="00246A32" w:rsidRDefault="005D7E8D" w:rsidP="008B2439">
            <w:pPr>
              <w:spacing w:before="20" w:after="20"/>
              <w:contextualSpacing/>
              <w:jc w:val="right"/>
              <w:rPr>
                <w:rFonts w:cstheme="minorHAnsi"/>
                <w:szCs w:val="22"/>
              </w:rPr>
            </w:pPr>
            <w:r>
              <w:rPr>
                <w:rFonts w:cstheme="minorHAnsi"/>
                <w:szCs w:val="22"/>
              </w:rPr>
              <w:t xml:space="preserve">3 </w:t>
            </w:r>
            <w:r w:rsidRPr="009640FE">
              <w:rPr>
                <w:rFonts w:cstheme="minorHAnsi"/>
                <w:szCs w:val="22"/>
              </w:rPr>
              <w:t>ft</w:t>
            </w:r>
            <w:r>
              <w:rPr>
                <w:rFonts w:cstheme="minorHAnsi"/>
                <w:szCs w:val="22"/>
                <w:vertAlign w:val="superscript"/>
              </w:rPr>
              <w:t>3</w:t>
            </w:r>
          </w:p>
        </w:tc>
        <w:tc>
          <w:tcPr>
            <w:tcW w:w="770" w:type="pct"/>
            <w:vAlign w:val="center"/>
          </w:tcPr>
          <w:p w14:paraId="47A4B84C" w14:textId="3C80870E" w:rsidR="005D7E8D" w:rsidRDefault="005D7E8D" w:rsidP="008B2439">
            <w:pPr>
              <w:spacing w:before="20" w:after="20"/>
              <w:contextualSpacing/>
              <w:jc w:val="right"/>
              <w:rPr>
                <w:rFonts w:cstheme="minorHAnsi"/>
                <w:szCs w:val="22"/>
              </w:rPr>
            </w:pPr>
            <w:r>
              <w:rPr>
                <w:rFonts w:cstheme="minorHAnsi"/>
                <w:szCs w:val="22"/>
              </w:rPr>
              <w:t xml:space="preserve">115 </w:t>
            </w:r>
            <w:r w:rsidRPr="009640FE">
              <w:rPr>
                <w:rFonts w:cstheme="minorHAnsi"/>
                <w:szCs w:val="22"/>
              </w:rPr>
              <w:t>ft</w:t>
            </w:r>
            <w:r>
              <w:rPr>
                <w:rFonts w:cstheme="minorHAnsi"/>
                <w:szCs w:val="22"/>
                <w:vertAlign w:val="superscript"/>
              </w:rPr>
              <w:t>3</w:t>
            </w:r>
          </w:p>
        </w:tc>
        <w:tc>
          <w:tcPr>
            <w:tcW w:w="684" w:type="pct"/>
            <w:vAlign w:val="center"/>
          </w:tcPr>
          <w:p w14:paraId="153F0A49" w14:textId="73EFF172" w:rsidR="005D7E8D" w:rsidRDefault="00C60D84" w:rsidP="008B2439">
            <w:pPr>
              <w:spacing w:before="20" w:after="20"/>
              <w:contextualSpacing/>
              <w:jc w:val="right"/>
              <w:rPr>
                <w:rFonts w:cstheme="minorHAnsi"/>
                <w:color w:val="000000"/>
                <w:szCs w:val="22"/>
              </w:rPr>
            </w:pPr>
            <w:r>
              <w:rPr>
                <w:rFonts w:cstheme="minorHAnsi"/>
                <w:color w:val="000000"/>
                <w:szCs w:val="22"/>
              </w:rPr>
              <w:t>50</w:t>
            </w:r>
            <w:r w:rsidR="005D7E8D" w:rsidRPr="009640FE">
              <w:rPr>
                <w:rFonts w:cstheme="minorHAnsi"/>
                <w:szCs w:val="22"/>
              </w:rPr>
              <w:t xml:space="preserve"> ft</w:t>
            </w:r>
            <w:r w:rsidR="005D7E8D">
              <w:rPr>
                <w:rFonts w:cstheme="minorHAnsi"/>
                <w:szCs w:val="22"/>
                <w:vertAlign w:val="superscript"/>
              </w:rPr>
              <w:t>3</w:t>
            </w:r>
          </w:p>
        </w:tc>
      </w:tr>
      <w:tr w:rsidR="005D7E8D" w:rsidRPr="009640FE" w14:paraId="1DFFA493" w14:textId="77777777" w:rsidTr="0064440D">
        <w:tc>
          <w:tcPr>
            <w:tcW w:w="925" w:type="pct"/>
          </w:tcPr>
          <w:p w14:paraId="4312FA29" w14:textId="2B22B752" w:rsidR="005D7E8D" w:rsidRPr="00475085" w:rsidRDefault="005D7E8D" w:rsidP="008B2439">
            <w:pPr>
              <w:spacing w:before="20" w:after="20"/>
              <w:contextualSpacing/>
            </w:pPr>
            <w:r w:rsidRPr="005D7E8D">
              <w:t>VOP.SC.M</w:t>
            </w:r>
          </w:p>
        </w:tc>
        <w:tc>
          <w:tcPr>
            <w:tcW w:w="461" w:type="pct"/>
          </w:tcPr>
          <w:p w14:paraId="4A13DD19" w14:textId="53D772A1" w:rsidR="005D7E8D" w:rsidRPr="00E26E09" w:rsidDel="008152CD" w:rsidRDefault="005D7E8D" w:rsidP="008B2439">
            <w:pPr>
              <w:spacing w:before="20" w:after="20"/>
              <w:contextualSpacing/>
              <w:jc w:val="right"/>
            </w:pPr>
            <w:r>
              <w:t>1,036</w:t>
            </w:r>
          </w:p>
        </w:tc>
        <w:tc>
          <w:tcPr>
            <w:tcW w:w="695" w:type="pct"/>
            <w:vAlign w:val="center"/>
          </w:tcPr>
          <w:p w14:paraId="7715D8A0" w14:textId="14F134E4" w:rsidR="005D7E8D" w:rsidRPr="00B42628" w:rsidRDefault="00541DDB" w:rsidP="008B2439">
            <w:pPr>
              <w:spacing w:before="20" w:after="20"/>
              <w:contextualSpacing/>
              <w:jc w:val="right"/>
            </w:pPr>
            <w:r>
              <w:t>100</w:t>
            </w:r>
            <w:r w:rsidR="005D7E8D">
              <w:t>%</w:t>
            </w:r>
          </w:p>
        </w:tc>
        <w:tc>
          <w:tcPr>
            <w:tcW w:w="695" w:type="pct"/>
            <w:vAlign w:val="center"/>
          </w:tcPr>
          <w:p w14:paraId="1C247C72" w14:textId="3A70602A" w:rsidR="005D7E8D" w:rsidRPr="00DF5795" w:rsidDel="008152CD" w:rsidRDefault="005D7E8D" w:rsidP="008B2439">
            <w:pPr>
              <w:spacing w:before="20" w:after="20"/>
              <w:contextualSpacing/>
              <w:jc w:val="right"/>
            </w:pPr>
            <w:r>
              <w:t>13%</w:t>
            </w:r>
          </w:p>
        </w:tc>
        <w:tc>
          <w:tcPr>
            <w:tcW w:w="770" w:type="pct"/>
            <w:vAlign w:val="center"/>
          </w:tcPr>
          <w:p w14:paraId="3EC6E0E1" w14:textId="6A2CE03C" w:rsidR="005D7E8D" w:rsidDel="00246A32" w:rsidRDefault="005D7E8D" w:rsidP="008B2439">
            <w:pPr>
              <w:spacing w:before="20" w:after="20"/>
              <w:contextualSpacing/>
              <w:jc w:val="right"/>
              <w:rPr>
                <w:rFonts w:cstheme="minorHAnsi"/>
                <w:szCs w:val="22"/>
              </w:rPr>
            </w:pPr>
            <w:r>
              <w:rPr>
                <w:rFonts w:cstheme="minorHAnsi"/>
                <w:szCs w:val="22"/>
              </w:rPr>
              <w:t xml:space="preserve">3 </w:t>
            </w:r>
            <w:r w:rsidRPr="009640FE">
              <w:rPr>
                <w:rFonts w:cstheme="minorHAnsi"/>
                <w:szCs w:val="22"/>
              </w:rPr>
              <w:t>ft</w:t>
            </w:r>
            <w:r>
              <w:rPr>
                <w:rFonts w:cstheme="minorHAnsi"/>
                <w:szCs w:val="22"/>
                <w:vertAlign w:val="superscript"/>
              </w:rPr>
              <w:t>3</w:t>
            </w:r>
          </w:p>
        </w:tc>
        <w:tc>
          <w:tcPr>
            <w:tcW w:w="770" w:type="pct"/>
            <w:vAlign w:val="center"/>
          </w:tcPr>
          <w:p w14:paraId="6EADEBCE" w14:textId="45C8D724" w:rsidR="005D7E8D" w:rsidRDefault="005D7E8D" w:rsidP="008B2439">
            <w:pPr>
              <w:spacing w:before="20" w:after="20"/>
              <w:contextualSpacing/>
              <w:jc w:val="right"/>
              <w:rPr>
                <w:rFonts w:cstheme="minorHAnsi"/>
                <w:szCs w:val="22"/>
              </w:rPr>
            </w:pPr>
            <w:r>
              <w:rPr>
                <w:rFonts w:cstheme="minorHAnsi"/>
                <w:szCs w:val="22"/>
              </w:rPr>
              <w:t>67</w:t>
            </w:r>
            <w:r w:rsidRPr="009640FE">
              <w:rPr>
                <w:rFonts w:cstheme="minorHAnsi"/>
                <w:szCs w:val="22"/>
              </w:rPr>
              <w:t xml:space="preserve"> ft</w:t>
            </w:r>
            <w:r>
              <w:rPr>
                <w:rFonts w:cstheme="minorHAnsi"/>
                <w:szCs w:val="22"/>
                <w:vertAlign w:val="superscript"/>
              </w:rPr>
              <w:t>3</w:t>
            </w:r>
          </w:p>
        </w:tc>
        <w:tc>
          <w:tcPr>
            <w:tcW w:w="684" w:type="pct"/>
            <w:vAlign w:val="center"/>
          </w:tcPr>
          <w:p w14:paraId="213C3666" w14:textId="098E122D" w:rsidR="005D7E8D" w:rsidRDefault="00C60D84" w:rsidP="008B2439">
            <w:pPr>
              <w:spacing w:before="20" w:after="20"/>
              <w:contextualSpacing/>
              <w:jc w:val="right"/>
              <w:rPr>
                <w:rFonts w:cstheme="minorHAnsi"/>
                <w:color w:val="000000"/>
                <w:szCs w:val="22"/>
              </w:rPr>
            </w:pPr>
            <w:r>
              <w:rPr>
                <w:rFonts w:cstheme="minorHAnsi"/>
                <w:color w:val="000000"/>
                <w:szCs w:val="22"/>
              </w:rPr>
              <w:t>n/a</w:t>
            </w:r>
          </w:p>
        </w:tc>
      </w:tr>
    </w:tbl>
    <w:p w14:paraId="79E738BE" w14:textId="77777777" w:rsidR="00666A7D" w:rsidRPr="009640FE" w:rsidRDefault="00666A7D" w:rsidP="00666A7D">
      <w:pPr>
        <w:pStyle w:val="eTRMTableFootnote"/>
      </w:pPr>
    </w:p>
    <w:p w14:paraId="3678C6F6" w14:textId="77777777" w:rsidR="00E42391" w:rsidRPr="009640FE" w:rsidRDefault="00E42391" w:rsidP="00E42391">
      <w:r w:rsidRPr="009640FE">
        <w:lastRenderedPageBreak/>
        <w:t xml:space="preserve">Continuing with the VOP.RC.M example, for </w:t>
      </w:r>
      <w:r w:rsidR="00E85029" w:rsidRPr="00E85029">
        <w:t>normal replacement and new construction installations</w:t>
      </w:r>
      <w:r w:rsidR="00E85029">
        <w:t>,</w:t>
      </w:r>
      <w:r w:rsidRPr="009640FE">
        <w:t xml:space="preserve"> the energy savings with TDA under the split point of 30 ft</w:t>
      </w:r>
      <w:r w:rsidRPr="009640FE">
        <w:rPr>
          <w:vertAlign w:val="superscript"/>
        </w:rPr>
        <w:t>2</w:t>
      </w:r>
      <w:r w:rsidRPr="009640FE">
        <w:t xml:space="preserve"> are demonstrated in the following. </w:t>
      </w:r>
    </w:p>
    <w:p w14:paraId="5275A19C" w14:textId="77777777" w:rsidR="00E42391" w:rsidRPr="00772ECB" w:rsidRDefault="00E42391">
      <w:pPr>
        <w:pStyle w:val="eTRMBulletedText"/>
      </w:pPr>
      <w:r w:rsidRPr="009640FE">
        <w:t xml:space="preserve">The average TDA of </w:t>
      </w:r>
      <w:r w:rsidR="00125BEB">
        <w:t>22</w:t>
      </w:r>
      <w:r w:rsidRPr="009640FE">
        <w:t xml:space="preserve"> ft</w:t>
      </w:r>
      <w:r w:rsidRPr="009640FE">
        <w:rPr>
          <w:vertAlign w:val="superscript"/>
        </w:rPr>
        <w:t>2</w:t>
      </w:r>
      <w:r w:rsidRPr="009640FE">
        <w:t xml:space="preserve"> </w:t>
      </w:r>
      <w:r w:rsidR="00E85029">
        <w:t>was</w:t>
      </w:r>
      <w:r w:rsidRPr="009640FE">
        <w:t xml:space="preserve"> calculated </w:t>
      </w:r>
      <w:r>
        <w:t xml:space="preserve">by filtering TDA entries </w:t>
      </w:r>
      <w:r w:rsidRPr="009640FE">
        <w:t>between the split point of 30 ft</w:t>
      </w:r>
      <w:r w:rsidRPr="009640FE">
        <w:rPr>
          <w:vertAlign w:val="superscript"/>
        </w:rPr>
        <w:t>2</w:t>
      </w:r>
      <w:r w:rsidRPr="009640FE">
        <w:t xml:space="preserve"> and the minimum TDA of 6 ft</w:t>
      </w:r>
      <w:r w:rsidRPr="009640FE">
        <w:rPr>
          <w:vertAlign w:val="superscript"/>
        </w:rPr>
        <w:t>2</w:t>
      </w:r>
      <w:r>
        <w:t>, t</w:t>
      </w:r>
      <w:r w:rsidRPr="00772ECB">
        <w:t>hen computing the mean</w:t>
      </w:r>
      <w:r w:rsidR="00E85029" w:rsidRPr="00772ECB">
        <w:t xml:space="preserve"> for each</w:t>
      </w:r>
      <w:r w:rsidRPr="00772ECB">
        <w:t xml:space="preserve">. </w:t>
      </w:r>
    </w:p>
    <w:p w14:paraId="05C5BA23" w14:textId="12D0D378" w:rsidR="00E42391" w:rsidRPr="00772ECB" w:rsidRDefault="00E42391">
      <w:pPr>
        <w:pStyle w:val="eTRMBulletedText"/>
      </w:pPr>
      <w:r w:rsidRPr="00772ECB">
        <w:t xml:space="preserve">Considering </w:t>
      </w:r>
      <w:r w:rsidRPr="0017286B">
        <w:t xml:space="preserve">the overall percentage improvement of </w:t>
      </w:r>
      <w:r w:rsidR="00C11B6C" w:rsidRPr="0017286B">
        <w:t>16</w:t>
      </w:r>
      <w:r w:rsidRPr="0017286B">
        <w:t>% for the VOP.RC.M equipment class</w:t>
      </w:r>
      <w:r w:rsidRPr="00772ECB">
        <w:t>, the electrical energy savings (EES</w:t>
      </w:r>
      <w:r w:rsidRPr="00772ECB">
        <w:rPr>
          <w:vertAlign w:val="subscript"/>
        </w:rPr>
        <w:t>1</w:t>
      </w:r>
      <w:r w:rsidRPr="00772ECB">
        <w:t xml:space="preserve">) </w:t>
      </w:r>
      <w:r w:rsidR="00E85029" w:rsidRPr="00772ECB">
        <w:t>was</w:t>
      </w:r>
      <w:r w:rsidRPr="00772ECB">
        <w:t xml:space="preserve"> calculated based on the 2017 federal code equation as:</w:t>
      </w:r>
    </w:p>
    <w:p w14:paraId="0D8289BD" w14:textId="704D6859" w:rsidR="00E42391" w:rsidRPr="009640FE" w:rsidRDefault="00E42391" w:rsidP="00E42391">
      <w:pPr>
        <w:ind w:left="1440"/>
        <w:rPr>
          <w:rFonts w:cstheme="minorHAnsi"/>
          <w:i/>
          <w:szCs w:val="22"/>
        </w:rPr>
      </w:pPr>
      <w:r w:rsidRPr="00772ECB">
        <w:rPr>
          <w:rFonts w:cstheme="minorHAnsi"/>
          <w:i/>
          <w:szCs w:val="22"/>
        </w:rPr>
        <w:t>EES</w:t>
      </w:r>
      <w:r w:rsidRPr="00772ECB">
        <w:rPr>
          <w:rFonts w:cstheme="minorHAnsi"/>
          <w:i/>
          <w:szCs w:val="22"/>
          <w:vertAlign w:val="subscript"/>
        </w:rPr>
        <w:t>1</w:t>
      </w:r>
      <w:r w:rsidRPr="00772ECB">
        <w:rPr>
          <w:rFonts w:cstheme="minorHAnsi"/>
          <w:i/>
          <w:szCs w:val="22"/>
        </w:rPr>
        <w:t xml:space="preserve"> = (0.64 x TDA + 4.07) x </w:t>
      </w:r>
      <w:r w:rsidR="00C11B6C" w:rsidRPr="00772ECB">
        <w:rPr>
          <w:rFonts w:cstheme="minorHAnsi"/>
          <w:i/>
          <w:szCs w:val="22"/>
        </w:rPr>
        <w:t>16</w:t>
      </w:r>
      <w:r w:rsidRPr="00772ECB">
        <w:rPr>
          <w:rFonts w:cstheme="minorHAnsi"/>
          <w:i/>
          <w:szCs w:val="22"/>
        </w:rPr>
        <w:t>% x (3</w:t>
      </w:r>
      <w:r w:rsidRPr="009640FE">
        <w:rPr>
          <w:rFonts w:cstheme="minorHAnsi"/>
          <w:i/>
          <w:szCs w:val="22"/>
        </w:rPr>
        <w:t>65 days/</w:t>
      </w:r>
      <w:proofErr w:type="spellStart"/>
      <w:r w:rsidRPr="009640FE">
        <w:rPr>
          <w:rFonts w:cstheme="minorHAnsi"/>
          <w:i/>
          <w:szCs w:val="22"/>
        </w:rPr>
        <w:t>yr</w:t>
      </w:r>
      <w:proofErr w:type="spellEnd"/>
      <w:r w:rsidRPr="009640FE">
        <w:rPr>
          <w:rFonts w:cstheme="minorHAnsi"/>
          <w:i/>
          <w:szCs w:val="22"/>
        </w:rPr>
        <w:t>)</w:t>
      </w:r>
    </w:p>
    <w:p w14:paraId="45724790" w14:textId="33896452" w:rsidR="00E42391" w:rsidRPr="009640FE" w:rsidRDefault="00243F7C">
      <w:pPr>
        <w:pStyle w:val="eTRMBulletedText"/>
      </w:pPr>
      <w:r w:rsidRPr="0009523B">
        <w:t>The hourly energy usage for these cases is not available. Therefore, the average case kW was used</w:t>
      </w:r>
      <w:r w:rsidR="0009523B" w:rsidRPr="0009523B">
        <w:t xml:space="preserve"> to conservatively represent the </w:t>
      </w:r>
      <w:r w:rsidRPr="0009523B">
        <w:t xml:space="preserve">DEER peak period of 4 – 9 PM </w:t>
      </w:r>
      <w:r w:rsidR="0009523B">
        <w:t>peak kW savings</w:t>
      </w:r>
      <w:r w:rsidR="007B31DA">
        <w:t xml:space="preserve">. </w:t>
      </w:r>
      <w:r w:rsidR="00E42391" w:rsidRPr="009640FE">
        <w:t>The electric peak demand reduction (DR</w:t>
      </w:r>
      <w:r w:rsidR="00E42391" w:rsidRPr="0009523B">
        <w:rPr>
          <w:vertAlign w:val="subscript"/>
        </w:rPr>
        <w:t>1</w:t>
      </w:r>
      <w:r w:rsidR="00E42391" w:rsidRPr="009640FE">
        <w:t xml:space="preserve">) </w:t>
      </w:r>
      <w:r w:rsidR="00E85029">
        <w:t>was</w:t>
      </w:r>
      <w:r w:rsidR="00E42391" w:rsidRPr="009640FE">
        <w:t xml:space="preserve"> conservatively estimated as:</w:t>
      </w:r>
    </w:p>
    <w:p w14:paraId="4C303302" w14:textId="77777777" w:rsidR="00E42391" w:rsidRPr="009640FE" w:rsidRDefault="00E42391" w:rsidP="00E42391">
      <w:pPr>
        <w:ind w:left="1440"/>
        <w:rPr>
          <w:rFonts w:cstheme="minorHAnsi"/>
          <w:i/>
          <w:szCs w:val="22"/>
        </w:rPr>
      </w:pPr>
      <w:r w:rsidRPr="009640FE">
        <w:rPr>
          <w:rFonts w:cstheme="minorHAnsi"/>
          <w:i/>
          <w:szCs w:val="22"/>
        </w:rPr>
        <w:t>DR</w:t>
      </w:r>
      <w:r w:rsidRPr="009640FE">
        <w:rPr>
          <w:rFonts w:cstheme="minorHAnsi"/>
          <w:i/>
          <w:szCs w:val="22"/>
          <w:vertAlign w:val="subscript"/>
        </w:rPr>
        <w:t>1</w:t>
      </w:r>
      <w:r w:rsidRPr="009640FE">
        <w:rPr>
          <w:rFonts w:cstheme="minorHAnsi"/>
          <w:i/>
          <w:szCs w:val="22"/>
        </w:rPr>
        <w:t xml:space="preserve"> = EES</w:t>
      </w:r>
      <w:r w:rsidRPr="009640FE">
        <w:rPr>
          <w:rFonts w:cstheme="minorHAnsi"/>
          <w:i/>
          <w:szCs w:val="22"/>
          <w:vertAlign w:val="subscript"/>
        </w:rPr>
        <w:t>1</w:t>
      </w:r>
      <w:r w:rsidRPr="009640FE">
        <w:rPr>
          <w:rFonts w:cstheme="minorHAnsi"/>
          <w:i/>
          <w:szCs w:val="22"/>
        </w:rPr>
        <w:t xml:space="preserve"> </w:t>
      </w:r>
      <w:proofErr w:type="gramStart"/>
      <w:r w:rsidRPr="009640FE">
        <w:rPr>
          <w:rFonts w:cstheme="minorHAnsi"/>
          <w:i/>
          <w:szCs w:val="22"/>
        </w:rPr>
        <w:t>/(</w:t>
      </w:r>
      <w:proofErr w:type="gramEnd"/>
      <w:r w:rsidRPr="009640FE">
        <w:rPr>
          <w:rFonts w:cstheme="minorHAnsi"/>
          <w:i/>
          <w:szCs w:val="22"/>
        </w:rPr>
        <w:t xml:space="preserve">8,760 </w:t>
      </w:r>
      <w:proofErr w:type="spellStart"/>
      <w:r w:rsidRPr="009640FE">
        <w:rPr>
          <w:rFonts w:cstheme="minorHAnsi"/>
          <w:i/>
          <w:szCs w:val="22"/>
        </w:rPr>
        <w:t>hr</w:t>
      </w:r>
      <w:proofErr w:type="spellEnd"/>
      <w:r w:rsidRPr="009640FE">
        <w:rPr>
          <w:rFonts w:cstheme="minorHAnsi"/>
          <w:i/>
          <w:szCs w:val="22"/>
        </w:rPr>
        <w:t>/</w:t>
      </w:r>
      <w:proofErr w:type="spellStart"/>
      <w:r w:rsidRPr="009640FE">
        <w:rPr>
          <w:rFonts w:cstheme="minorHAnsi"/>
          <w:i/>
          <w:szCs w:val="22"/>
        </w:rPr>
        <w:t>yr</w:t>
      </w:r>
      <w:proofErr w:type="spellEnd"/>
      <w:r w:rsidRPr="009640FE">
        <w:rPr>
          <w:rFonts w:cstheme="minorHAnsi"/>
          <w:i/>
          <w:szCs w:val="22"/>
        </w:rPr>
        <w:t>)</w:t>
      </w:r>
    </w:p>
    <w:p w14:paraId="4CCD8346" w14:textId="77777777" w:rsidR="004F6C25" w:rsidRDefault="004F6C25" w:rsidP="0083196F">
      <w:r w:rsidRPr="0017286B">
        <w:t xml:space="preserve">Since the federal code baseline of maximum daily energy consumption (MDEC) only depends on the total display area </w:t>
      </w:r>
      <w:r w:rsidR="00E85029" w:rsidRPr="0017286B">
        <w:t xml:space="preserve">(TDA) </w:t>
      </w:r>
      <w:r w:rsidRPr="0017286B">
        <w:t>or volume</w:t>
      </w:r>
      <w:r w:rsidR="001A7C52" w:rsidRPr="0017286B">
        <w:t xml:space="preserve"> </w:t>
      </w:r>
      <w:r w:rsidR="00E85029" w:rsidRPr="0017286B">
        <w:t xml:space="preserve">(V) </w:t>
      </w:r>
      <w:r w:rsidR="001A7C52" w:rsidRPr="0017286B">
        <w:t>and independent of climate zone</w:t>
      </w:r>
      <w:r w:rsidRPr="0017286B">
        <w:t xml:space="preserve">, the </w:t>
      </w:r>
      <w:r w:rsidR="00666A7D" w:rsidRPr="0017286B">
        <w:t>UES</w:t>
      </w:r>
      <w:r w:rsidRPr="0017286B">
        <w:t xml:space="preserve"> will be the same for all climate zones and building types of the same display case class.</w:t>
      </w:r>
      <w:r w:rsidRPr="009640FE">
        <w:t xml:space="preserve"> </w:t>
      </w:r>
    </w:p>
    <w:p w14:paraId="0331F0F8" w14:textId="77777777" w:rsidR="0083196F" w:rsidRDefault="0083196F" w:rsidP="00666A7D"/>
    <w:p w14:paraId="2DF61A15" w14:textId="77777777" w:rsidR="00666A7D" w:rsidRPr="004B06E3" w:rsidRDefault="00666A7D" w:rsidP="00666A7D">
      <w:pPr>
        <w:pStyle w:val="eTRMHeading3"/>
      </w:pPr>
      <w:bookmarkStart w:id="40" w:name="_Toc486490856"/>
      <w:bookmarkStart w:id="41" w:name="_Toc486580927"/>
      <w:bookmarkStart w:id="42" w:name="_Toc56591409"/>
      <w:r w:rsidRPr="004B06E3">
        <w:t>Peak Electric Demand Reduction (</w:t>
      </w:r>
      <w:r w:rsidRPr="00666A7D">
        <w:rPr>
          <w:caps w:val="0"/>
        </w:rPr>
        <w:t>kW</w:t>
      </w:r>
      <w:r w:rsidRPr="004B06E3">
        <w:t>)</w:t>
      </w:r>
      <w:bookmarkEnd w:id="40"/>
      <w:bookmarkEnd w:id="41"/>
      <w:bookmarkEnd w:id="42"/>
    </w:p>
    <w:p w14:paraId="5553761D" w14:textId="77777777" w:rsidR="00666A7D" w:rsidRDefault="00666A7D" w:rsidP="00666A7D">
      <w:r>
        <w:t>The methodology to derive peak demand reduction follows the same methodology in the Electric Savings section.</w:t>
      </w:r>
    </w:p>
    <w:p w14:paraId="7DE7293F" w14:textId="77777777" w:rsidR="00666A7D" w:rsidRPr="009640FE" w:rsidRDefault="00666A7D" w:rsidP="00666A7D"/>
    <w:p w14:paraId="2826599D" w14:textId="77777777" w:rsidR="007D230B" w:rsidRPr="004B06E3" w:rsidRDefault="007D230B" w:rsidP="00A01960">
      <w:pPr>
        <w:pStyle w:val="eTRMHeading3"/>
      </w:pPr>
      <w:bookmarkStart w:id="43" w:name="_Toc486490858"/>
      <w:bookmarkStart w:id="44" w:name="_Toc486580929"/>
      <w:bookmarkStart w:id="45" w:name="_Toc56591410"/>
      <w:r w:rsidRPr="004B06E3">
        <w:t>Gas Savings</w:t>
      </w:r>
      <w:r w:rsidR="00245AFF" w:rsidRPr="004B06E3">
        <w:t xml:space="preserve"> (</w:t>
      </w:r>
      <w:proofErr w:type="spellStart"/>
      <w:r w:rsidR="00245AFF" w:rsidRPr="00666A7D">
        <w:rPr>
          <w:caps w:val="0"/>
        </w:rPr>
        <w:t>Therms</w:t>
      </w:r>
      <w:proofErr w:type="spellEnd"/>
      <w:r w:rsidR="00245AFF" w:rsidRPr="004B06E3">
        <w:t>)</w:t>
      </w:r>
      <w:bookmarkEnd w:id="43"/>
      <w:bookmarkEnd w:id="44"/>
      <w:bookmarkEnd w:id="45"/>
    </w:p>
    <w:p w14:paraId="62489C19" w14:textId="77777777" w:rsidR="007D230B" w:rsidRDefault="0083196F" w:rsidP="004B06E3">
      <w:r>
        <w:t>Not applicable.</w:t>
      </w:r>
    </w:p>
    <w:p w14:paraId="1699508A" w14:textId="77777777" w:rsidR="0083196F" w:rsidRDefault="0083196F" w:rsidP="004B06E3"/>
    <w:p w14:paraId="12B36F5D" w14:textId="77777777" w:rsidR="00D6376F" w:rsidRDefault="00D6376F" w:rsidP="00A01960">
      <w:pPr>
        <w:pStyle w:val="eTRMHeading3"/>
      </w:pPr>
      <w:bookmarkStart w:id="46" w:name="_Toc56591411"/>
      <w:bookmarkStart w:id="47" w:name="_Toc486490859"/>
      <w:bookmarkStart w:id="48" w:name="_Toc486580930"/>
      <w:bookmarkStart w:id="49" w:name="_Toc490461305"/>
      <w:r w:rsidRPr="004B06E3">
        <w:t>Life Cycle</w:t>
      </w:r>
      <w:bookmarkEnd w:id="46"/>
      <w:r w:rsidRPr="004B06E3">
        <w:t xml:space="preserve"> </w:t>
      </w:r>
      <w:bookmarkEnd w:id="47"/>
      <w:bookmarkEnd w:id="48"/>
      <w:bookmarkEnd w:id="49"/>
    </w:p>
    <w:p w14:paraId="08C4033A" w14:textId="77777777" w:rsidR="00666A7D" w:rsidRDefault="00FA1585" w:rsidP="00FA158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The RUL is only applicable to the first baseline period for a retrofit measure with an applicable code baseline. </w:t>
      </w:r>
    </w:p>
    <w:p w14:paraId="62BC83A3" w14:textId="77777777" w:rsidR="004F144B" w:rsidRDefault="004F144B" w:rsidP="00FA1585">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14"/>
      </w:r>
      <w:r>
        <w:t xml:space="preserve"> </w:t>
      </w:r>
      <w:r w:rsidRPr="008F087F">
        <w:rPr>
          <w:rFonts w:eastAsia="Times New Roman"/>
        </w:rPr>
        <w:t>This approach provides a reasonable RUL estimate without requiring any a priori knowledge about the age of the equipment being replaced.</w:t>
      </w:r>
      <w:r>
        <w:rPr>
          <w:rStyle w:val="FootnoteReference"/>
          <w:rFonts w:eastAsia="Times New Roman"/>
        </w:rPr>
        <w:footnoteReference w:id="15"/>
      </w:r>
    </w:p>
    <w:p w14:paraId="4CF6DB4F" w14:textId="77777777" w:rsidR="00FA1585" w:rsidRDefault="00FA1585" w:rsidP="00FA1585">
      <w:r>
        <w:t xml:space="preserve">The EUL and RUL for this measure </w:t>
      </w:r>
      <w:proofErr w:type="gramStart"/>
      <w:r>
        <w:t>are</w:t>
      </w:r>
      <w:proofErr w:type="gramEnd"/>
      <w:r>
        <w:t xml:space="preserve"> </w:t>
      </w:r>
      <w:r w:rsidR="00666A7D">
        <w:t xml:space="preserve">specified below. </w:t>
      </w:r>
      <w:r>
        <w:t xml:space="preserve"> </w:t>
      </w:r>
    </w:p>
    <w:p w14:paraId="35483BCB" w14:textId="77777777" w:rsidR="00FA1585" w:rsidRPr="00920905" w:rsidRDefault="00FA1585" w:rsidP="00407B6B">
      <w:pPr>
        <w:pStyle w:val="Caption"/>
      </w:pPr>
      <w:r>
        <w:lastRenderedPageBreak/>
        <w:t>Effective Useful Life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CB2C77" w:rsidRPr="00052C24" w14:paraId="0CB6A3EA" w14:textId="77777777" w:rsidTr="00705CB3">
        <w:tc>
          <w:tcPr>
            <w:tcW w:w="1740" w:type="dxa"/>
            <w:shd w:val="clear" w:color="auto" w:fill="F2F2F2" w:themeFill="background1" w:themeFillShade="F2"/>
            <w:vAlign w:val="bottom"/>
          </w:tcPr>
          <w:p w14:paraId="2F2AA946" w14:textId="77777777" w:rsidR="00CB2C77" w:rsidRPr="00052C24" w:rsidRDefault="00CB2C77" w:rsidP="00705CB3">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12ACA3B2" w14:textId="77777777" w:rsidR="00CB2C77" w:rsidRPr="00052C24" w:rsidRDefault="00CB2C77" w:rsidP="00705CB3">
            <w:pPr>
              <w:keepNext/>
              <w:keepLines/>
              <w:spacing w:before="0" w:after="0" w:line="200" w:lineRule="atLeast"/>
              <w:jc w:val="center"/>
              <w:rPr>
                <w:b/>
                <w:sz w:val="20"/>
              </w:rPr>
            </w:pPr>
            <w:r>
              <w:rPr>
                <w:b/>
                <w:sz w:val="20"/>
              </w:rPr>
              <w:t>Value</w:t>
            </w:r>
          </w:p>
        </w:tc>
        <w:tc>
          <w:tcPr>
            <w:tcW w:w="6450" w:type="dxa"/>
            <w:shd w:val="clear" w:color="auto" w:fill="F2F2F2" w:themeFill="background1" w:themeFillShade="F2"/>
            <w:vAlign w:val="bottom"/>
          </w:tcPr>
          <w:p w14:paraId="04109F29" w14:textId="77777777" w:rsidR="00CB2C77" w:rsidRDefault="00CB2C77" w:rsidP="00705CB3">
            <w:pPr>
              <w:keepNext/>
              <w:keepLines/>
              <w:spacing w:before="0" w:after="0" w:line="200" w:lineRule="atLeast"/>
              <w:jc w:val="center"/>
              <w:rPr>
                <w:b/>
                <w:sz w:val="20"/>
              </w:rPr>
            </w:pPr>
            <w:r>
              <w:rPr>
                <w:b/>
                <w:sz w:val="20"/>
              </w:rPr>
              <w:t>Source</w:t>
            </w:r>
          </w:p>
        </w:tc>
      </w:tr>
      <w:tr w:rsidR="00CB2C77" w:rsidRPr="00052C24" w14:paraId="70EC4852" w14:textId="77777777" w:rsidTr="00705CB3">
        <w:trPr>
          <w:trHeight w:val="260"/>
        </w:trPr>
        <w:tc>
          <w:tcPr>
            <w:tcW w:w="1740" w:type="dxa"/>
            <w:vAlign w:val="center"/>
          </w:tcPr>
          <w:p w14:paraId="2D18BD3E" w14:textId="77777777" w:rsidR="00CB2C77" w:rsidRDefault="00CB2C77" w:rsidP="00705CB3">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p w14:paraId="4B15CF78" w14:textId="2DAEAAB4" w:rsidR="00CF3BDD" w:rsidRDefault="00CF3BDD" w:rsidP="00705CB3">
            <w:pPr>
              <w:keepNext/>
              <w:keepLines/>
              <w:spacing w:before="0" w:after="0" w:line="200" w:lineRule="atLeast"/>
              <w:rPr>
                <w:sz w:val="20"/>
              </w:rPr>
            </w:pPr>
            <w:r>
              <w:rPr>
                <w:sz w:val="20"/>
              </w:rPr>
              <w:t>EUL ID –</w:t>
            </w:r>
            <w:r w:rsidRPr="0017286B">
              <w:rPr>
                <w:i/>
                <w:iCs/>
                <w:sz w:val="20"/>
              </w:rPr>
              <w:t xml:space="preserve"> </w:t>
            </w:r>
            <w:proofErr w:type="spellStart"/>
            <w:r w:rsidRPr="0017286B">
              <w:rPr>
                <w:i/>
                <w:iCs/>
                <w:sz w:val="20"/>
              </w:rPr>
              <w:t>GrocDisp-FixtDoors</w:t>
            </w:r>
            <w:proofErr w:type="spellEnd"/>
          </w:p>
          <w:p w14:paraId="55BB0E70" w14:textId="1A37005E" w:rsidR="00CF3BDD" w:rsidRPr="00C45400" w:rsidRDefault="00CF3BDD" w:rsidP="00705CB3">
            <w:pPr>
              <w:keepNext/>
              <w:keepLines/>
              <w:spacing w:before="0" w:after="0" w:line="200" w:lineRule="atLeast"/>
              <w:rPr>
                <w:sz w:val="20"/>
              </w:rPr>
            </w:pPr>
          </w:p>
        </w:tc>
        <w:tc>
          <w:tcPr>
            <w:tcW w:w="1440" w:type="dxa"/>
            <w:shd w:val="clear" w:color="auto" w:fill="auto"/>
            <w:vAlign w:val="center"/>
          </w:tcPr>
          <w:p w14:paraId="0425D501" w14:textId="77777777" w:rsidR="00CB2C77" w:rsidRPr="00E86DF6" w:rsidRDefault="00CB2C77" w:rsidP="00705CB3">
            <w:pPr>
              <w:keepNext/>
              <w:keepLines/>
              <w:spacing w:before="0" w:after="0" w:line="200" w:lineRule="atLeast"/>
              <w:jc w:val="center"/>
              <w:rPr>
                <w:sz w:val="20"/>
              </w:rPr>
            </w:pPr>
            <w:r>
              <w:rPr>
                <w:sz w:val="20"/>
              </w:rPr>
              <w:t>12.0</w:t>
            </w:r>
          </w:p>
        </w:tc>
        <w:tc>
          <w:tcPr>
            <w:tcW w:w="6450" w:type="dxa"/>
            <w:vAlign w:val="center"/>
          </w:tcPr>
          <w:p w14:paraId="3A693392" w14:textId="77777777" w:rsidR="00CB2C77" w:rsidRPr="000A4C01" w:rsidRDefault="00CB2C77" w:rsidP="00705CB3">
            <w:pPr>
              <w:keepNext/>
              <w:keepLines/>
              <w:spacing w:before="0" w:after="0" w:line="240" w:lineRule="auto"/>
              <w:rPr>
                <w:rFonts w:eastAsia="Times New Roman" w:cs="Times New Roman"/>
                <w:color w:val="000000"/>
                <w:sz w:val="18"/>
                <w:szCs w:val="18"/>
                <w:highlight w:val="yellow"/>
              </w:rPr>
            </w:pPr>
            <w:r w:rsidRPr="000A4C01">
              <w:rPr>
                <w:sz w:val="18"/>
                <w:szCs w:val="18"/>
              </w:rPr>
              <w:t>California Public Utilities Commission (CPUC). 2014. “DEER2014-EUL-table-update_2014-02-05.xlsx.”</w:t>
            </w:r>
          </w:p>
        </w:tc>
      </w:tr>
    </w:tbl>
    <w:p w14:paraId="22BEA843" w14:textId="77777777" w:rsidR="00CB2C77" w:rsidRPr="004B06E3" w:rsidRDefault="00CB2C77" w:rsidP="00D6376F"/>
    <w:p w14:paraId="0749D481" w14:textId="77777777" w:rsidR="00884E97" w:rsidRPr="004B06E3" w:rsidRDefault="00884E97" w:rsidP="00884E97">
      <w:pPr>
        <w:pStyle w:val="eTRMHeading3"/>
      </w:pPr>
      <w:bookmarkStart w:id="50" w:name="_Toc486490860"/>
      <w:bookmarkStart w:id="51" w:name="_Toc486580931"/>
      <w:bookmarkStart w:id="52" w:name="_Toc490461306"/>
      <w:bookmarkStart w:id="53" w:name="_Toc56591412"/>
      <w:r w:rsidRPr="004B06E3">
        <w:t>Base Case Material Cost ($/unit)</w:t>
      </w:r>
      <w:bookmarkEnd w:id="50"/>
      <w:bookmarkEnd w:id="51"/>
      <w:bookmarkEnd w:id="52"/>
      <w:bookmarkEnd w:id="53"/>
    </w:p>
    <w:p w14:paraId="366A1B40" w14:textId="77777777" w:rsidR="00884E97" w:rsidRDefault="00884E97" w:rsidP="00884E97">
      <w:pPr>
        <w:pStyle w:val="NoSpacing"/>
        <w:rPr>
          <w:rFonts w:ascii="Calibri Light" w:hAnsi="Calibri Light"/>
        </w:rPr>
      </w:pPr>
      <w:r w:rsidRPr="0017286B">
        <w:rPr>
          <w:rFonts w:ascii="Calibri Light" w:hAnsi="Calibri Light"/>
        </w:rPr>
        <w:t xml:space="preserve">The base case material costs </w:t>
      </w:r>
      <w:r w:rsidR="003C23EC" w:rsidRPr="0017286B">
        <w:rPr>
          <w:rFonts w:ascii="Calibri Light" w:hAnsi="Calibri Light"/>
        </w:rPr>
        <w:t>were</w:t>
      </w:r>
      <w:r w:rsidRPr="0017286B">
        <w:rPr>
          <w:rFonts w:ascii="Calibri Light" w:hAnsi="Calibri Light"/>
        </w:rPr>
        <w:t xml:space="preserve"> estimated based on </w:t>
      </w:r>
      <w:r w:rsidR="003C23EC" w:rsidRPr="0017286B">
        <w:rPr>
          <w:rFonts w:ascii="Calibri Light" w:hAnsi="Calibri Light"/>
        </w:rPr>
        <w:t xml:space="preserve">U.S. Department of Energy </w:t>
      </w:r>
      <w:r w:rsidR="00A64D68" w:rsidRPr="0017286B">
        <w:rPr>
          <w:rFonts w:ascii="Calibri Light" w:hAnsi="Calibri Light"/>
        </w:rPr>
        <w:t xml:space="preserve">(DOE) </w:t>
      </w:r>
      <w:r w:rsidR="003C23EC" w:rsidRPr="0017286B">
        <w:rPr>
          <w:rFonts w:ascii="Calibri Light" w:hAnsi="Calibri Light"/>
        </w:rPr>
        <w:t>R</w:t>
      </w:r>
      <w:r w:rsidRPr="0017286B">
        <w:rPr>
          <w:rFonts w:ascii="Calibri Light" w:hAnsi="Calibri Light"/>
        </w:rPr>
        <w:t xml:space="preserve">ulemaking </w:t>
      </w:r>
      <w:r w:rsidR="003C23EC" w:rsidRPr="0017286B">
        <w:rPr>
          <w:rFonts w:ascii="Calibri Light" w:hAnsi="Calibri Light"/>
        </w:rPr>
        <w:t>Technical Support Document (TSD)</w:t>
      </w:r>
      <w:r w:rsidR="0040629B" w:rsidRPr="0017286B">
        <w:rPr>
          <w:rFonts w:ascii="Calibri Light" w:hAnsi="Calibri Light"/>
        </w:rPr>
        <w:t>.</w:t>
      </w:r>
      <w:r w:rsidR="0040629B" w:rsidRPr="0017286B">
        <w:rPr>
          <w:rStyle w:val="FootnoteReference"/>
          <w:rFonts w:ascii="Calibri Light" w:hAnsi="Calibri Light"/>
        </w:rPr>
        <w:footnoteReference w:id="16"/>
      </w:r>
      <w:r w:rsidR="003C23EC" w:rsidRPr="0017286B">
        <w:rPr>
          <w:rFonts w:ascii="Calibri Light" w:hAnsi="Calibri Light"/>
        </w:rPr>
        <w:t xml:space="preserve"> </w:t>
      </w:r>
      <w:r w:rsidRPr="0017286B">
        <w:rPr>
          <w:rFonts w:ascii="Calibri Light" w:hAnsi="Calibri Light"/>
        </w:rPr>
        <w:t xml:space="preserve">The </w:t>
      </w:r>
      <w:r w:rsidR="003C23EC" w:rsidRPr="0017286B">
        <w:rPr>
          <w:rFonts w:ascii="Calibri Light" w:hAnsi="Calibri Light"/>
        </w:rPr>
        <w:t>TSD</w:t>
      </w:r>
      <w:r w:rsidRPr="0017286B">
        <w:rPr>
          <w:rFonts w:ascii="Calibri Light" w:hAnsi="Calibri Light"/>
        </w:rPr>
        <w:t xml:space="preserve"> included engineering analysis to develop the relationship between manufacturer selling price (MSP) and energy consumption for the examined commercial refrigeration equipment.</w:t>
      </w:r>
      <w:r w:rsidRPr="002A6FE9">
        <w:rPr>
          <w:rFonts w:ascii="Calibri Light" w:hAnsi="Calibri Light"/>
        </w:rPr>
        <w:t xml:space="preserve"> </w:t>
      </w:r>
    </w:p>
    <w:p w14:paraId="7AD9C86C" w14:textId="77777777" w:rsidR="00884E97" w:rsidRPr="009421BA" w:rsidRDefault="00884E97" w:rsidP="003C23EC">
      <w:r w:rsidRPr="002A6FE9">
        <w:t>DOE developed estimates of the manufacturer production cost (MPC) based on two sets of costs. The first set is the cost to manufacture the core case, which consists of components such as structural members, shelving, wiring, air curtain grilles, etc., that do not change at higher design option levels. The second set is the cost to manufacture and install the components that make up each design option. The design op</w:t>
      </w:r>
      <w:r w:rsidRPr="009421BA">
        <w:t xml:space="preserve">tion elements include heat exchangers, fans, glass doors and lighting that directly affect the daily energy consumption. </w:t>
      </w:r>
      <w:r w:rsidRPr="0017286B">
        <w:t>After the MPC was estimated, DOE applied manufacturer markups and outbound freight cost to the MPC to estimate the MSP.</w:t>
      </w:r>
      <w:r w:rsidRPr="009421BA">
        <w:t xml:space="preserve"> </w:t>
      </w:r>
    </w:p>
    <w:p w14:paraId="0FEAC9A7" w14:textId="77777777" w:rsidR="00884E97" w:rsidRPr="009421BA" w:rsidRDefault="00884E97" w:rsidP="003C23EC">
      <w:r w:rsidRPr="009421BA">
        <w:t>In summary, the DOE cost model is developed from the following sources:</w:t>
      </w:r>
    </w:p>
    <w:p w14:paraId="3D46CD3B" w14:textId="77777777" w:rsidR="00884E97" w:rsidRPr="0017286B" w:rsidRDefault="00884E97" w:rsidP="00AC7885">
      <w:pPr>
        <w:pStyle w:val="ListParagraph"/>
        <w:numPr>
          <w:ilvl w:val="0"/>
          <w:numId w:val="7"/>
        </w:numPr>
      </w:pPr>
      <w:r w:rsidRPr="0017286B">
        <w:t xml:space="preserve">The core case costs are developed based on assumptions about the sourcing of parts and in-house fabrication from industry experience, information from trade publications, and discussions with manufacturers. </w:t>
      </w:r>
    </w:p>
    <w:p w14:paraId="603C27CC" w14:textId="77777777" w:rsidR="00884E97" w:rsidRPr="0017286B" w:rsidRDefault="00884E97" w:rsidP="00AC7885">
      <w:pPr>
        <w:pStyle w:val="ListParagraph"/>
        <w:numPr>
          <w:ilvl w:val="0"/>
          <w:numId w:val="7"/>
        </w:numPr>
      </w:pPr>
      <w:r w:rsidRPr="0017286B">
        <w:t xml:space="preserve">The design option costs are estimated through a combination of manufacturer estimates, wholesalers’ prices, list prices, and other sources. </w:t>
      </w:r>
    </w:p>
    <w:p w14:paraId="7ECFB55E" w14:textId="77777777" w:rsidR="00884E97" w:rsidRPr="0017286B" w:rsidRDefault="00884E97" w:rsidP="00AC7885">
      <w:pPr>
        <w:pStyle w:val="ListParagraph"/>
        <w:numPr>
          <w:ilvl w:val="0"/>
          <w:numId w:val="7"/>
        </w:numPr>
      </w:pPr>
      <w:r w:rsidRPr="0017286B">
        <w:t xml:space="preserve">DOE developed the manufacturer markup by examining several major commercial refrigeration equipment manufacturers’ gross margin information from annual reports and Securities and Exchange Commission (SEC) 10-K reports. </w:t>
      </w:r>
    </w:p>
    <w:p w14:paraId="016DC572" w14:textId="77777777" w:rsidR="00884E97" w:rsidRDefault="00884E97" w:rsidP="003C23EC">
      <w:r w:rsidRPr="009421BA">
        <w:t>The DOE results are presented in analytically derived curves showing the cost-efficiency relationship for different design options. Refer to Sectio</w:t>
      </w:r>
      <w:r w:rsidRPr="002A6FE9">
        <w:t xml:space="preserve">n 5.7 </w:t>
      </w:r>
      <w:r w:rsidR="00E859D4">
        <w:t xml:space="preserve">of the TSD </w:t>
      </w:r>
      <w:r w:rsidRPr="002A6FE9">
        <w:t>for the cost-efficiency curve and design option levels evaluated for different display case class</w:t>
      </w:r>
      <w:r>
        <w:t>es</w:t>
      </w:r>
      <w:r w:rsidRPr="002A6FE9">
        <w:t xml:space="preserve">. </w:t>
      </w:r>
      <w:r>
        <w:t>Each cost-efficiency curve is defined for a unit of a representative size.</w:t>
      </w:r>
    </w:p>
    <w:p w14:paraId="6B3C6846" w14:textId="77777777" w:rsidR="00884E97" w:rsidRDefault="00884E97" w:rsidP="003C23EC">
      <w:r>
        <w:t>To determine a cost based on the DOE cost-efficiency curves, several steps are required.</w:t>
      </w:r>
    </w:p>
    <w:p w14:paraId="077938AD" w14:textId="77777777" w:rsidR="00884E97" w:rsidRDefault="00884E97" w:rsidP="00AC7885">
      <w:pPr>
        <w:pStyle w:val="ListParagraph"/>
        <w:numPr>
          <w:ilvl w:val="0"/>
          <w:numId w:val="8"/>
        </w:numPr>
      </w:pPr>
      <w:r>
        <w:t>First, determine the representative size for the DOE analytic cost model for the equipment class. For the VOP.RC.M class, DOE defines it as 53.3 ft</w:t>
      </w:r>
      <w:r w:rsidRPr="003C23EC">
        <w:rPr>
          <w:vertAlign w:val="superscript"/>
        </w:rPr>
        <w:t>2</w:t>
      </w:r>
      <w:r>
        <w:t>.</w:t>
      </w:r>
    </w:p>
    <w:p w14:paraId="507FEB6F" w14:textId="77777777" w:rsidR="00884E97" w:rsidRDefault="00884E97" w:rsidP="00AC7885">
      <w:pPr>
        <w:pStyle w:val="ListParagraph"/>
        <w:numPr>
          <w:ilvl w:val="0"/>
          <w:numId w:val="8"/>
        </w:numPr>
      </w:pPr>
      <w:r>
        <w:lastRenderedPageBreak/>
        <w:t>Next, input that representative size into the MDEC formula. The formula per 2017 Title 10 defines the current code baseline point. For the VOP.RC.M class, this evaluates to 38.18 kWh/day. The formula per 2012 Title 10 evaluates to 47.78 kWh/day for this class.</w:t>
      </w:r>
    </w:p>
    <w:p w14:paraId="5677F011" w14:textId="762094F9" w:rsidR="00884E97" w:rsidRDefault="00884E97" w:rsidP="00AC7885">
      <w:pPr>
        <w:pStyle w:val="ListParagraph"/>
        <w:numPr>
          <w:ilvl w:val="0"/>
          <w:numId w:val="8"/>
        </w:numPr>
      </w:pPr>
      <w:r>
        <w:t xml:space="preserve">From the baseline, apply the measure savings fraction to determine the measure DEC. For the VOP.RC.M class, the </w:t>
      </w:r>
      <w:r w:rsidR="00DB6526">
        <w:t>16</w:t>
      </w:r>
      <w:r>
        <w:t>% savings results in 32.</w:t>
      </w:r>
      <w:r w:rsidR="00897228">
        <w:t xml:space="preserve">07 </w:t>
      </w:r>
      <w:r>
        <w:t>kWh/day.</w:t>
      </w:r>
    </w:p>
    <w:p w14:paraId="5241A7D9" w14:textId="77777777" w:rsidR="00884E97" w:rsidRDefault="00884E97" w:rsidP="00AC7885">
      <w:pPr>
        <w:pStyle w:val="ListParagraph"/>
        <w:numPr>
          <w:ilvl w:val="0"/>
          <w:numId w:val="8"/>
        </w:numPr>
      </w:pPr>
      <w:r w:rsidRPr="0017286B">
        <w:t>Next, identify the closest matching points on the cost-efficiency curve, and interpolate based on DEC to obtain the MSP.</w:t>
      </w:r>
      <w:r w:rsidRPr="00B91687">
        <w:t xml:space="preserve"> For</w:t>
      </w:r>
      <w:r>
        <w:t xml:space="preserve"> the VOP.RC.M examples above: the 2012 Title 10 standard level falls between AD4 and AD5, and the estimated cost for the representative size unit is interpolated as </w:t>
      </w:r>
      <w:r w:rsidRPr="00931632">
        <w:t>$5,718.17</w:t>
      </w:r>
      <w:r>
        <w:t xml:space="preserve">. The 2017 Title 10 standard level falls between AD5 and AD6, and the estimated cost of the representative size unit is </w:t>
      </w:r>
      <w:r w:rsidRPr="00931632">
        <w:t>$6,980.57</w:t>
      </w:r>
      <w:r>
        <w:t xml:space="preserve">. The measure DEC level falls below that of the max tech level, AD9, and the estimated cost of the representative size unit is the same as the AD9 cost level, </w:t>
      </w:r>
      <w:r w:rsidRPr="00C47150">
        <w:t>$10,324.07</w:t>
      </w:r>
      <w:r>
        <w:t>.</w:t>
      </w:r>
    </w:p>
    <w:p w14:paraId="3BD10A59" w14:textId="17D3E38D" w:rsidR="00884E97" w:rsidRDefault="00535811" w:rsidP="00AC7885">
      <w:pPr>
        <w:pStyle w:val="ListParagraph"/>
        <w:numPr>
          <w:ilvl w:val="0"/>
          <w:numId w:val="8"/>
        </w:numPr>
      </w:pPr>
      <w:r w:rsidRPr="0017286B">
        <w:t>Next</w:t>
      </w:r>
      <w:r w:rsidR="00884E97" w:rsidRPr="0017286B">
        <w:t>, scale the cost from the representative size unit to the mean size defined for the measure code</w:t>
      </w:r>
      <w:r w:rsidR="00884E97" w:rsidRPr="00B91687">
        <w:t>. F</w:t>
      </w:r>
      <w:r w:rsidR="00884E97">
        <w:t>or VOP.RC.M units up to 30 ft</w:t>
      </w:r>
      <w:r w:rsidR="00884E97" w:rsidRPr="003C23EC">
        <w:rPr>
          <w:vertAlign w:val="superscript"/>
        </w:rPr>
        <w:t>2</w:t>
      </w:r>
      <w:r w:rsidR="00884E97">
        <w:t xml:space="preserve">, the mean size is </w:t>
      </w:r>
      <w:r w:rsidR="00F335AA">
        <w:t>22</w:t>
      </w:r>
      <w:r w:rsidR="00884E97">
        <w:t xml:space="preserve"> ft</w:t>
      </w:r>
      <w:r w:rsidR="00884E97" w:rsidRPr="003C23EC">
        <w:rPr>
          <w:vertAlign w:val="superscript"/>
        </w:rPr>
        <w:t>2</w:t>
      </w:r>
      <w:r w:rsidR="00884E97">
        <w:t>, and the above costs for the representative size unit are scaled by a factor of (53.3 ft</w:t>
      </w:r>
      <w:r w:rsidR="00884E97" w:rsidRPr="003C23EC">
        <w:rPr>
          <w:vertAlign w:val="superscript"/>
        </w:rPr>
        <w:t>2</w:t>
      </w:r>
      <w:r w:rsidR="00884E97">
        <w:t>/21.</w:t>
      </w:r>
      <w:r w:rsidR="00CB1543">
        <w:t xml:space="preserve">96 </w:t>
      </w:r>
      <w:r w:rsidR="00884E97">
        <w:t>ft</w:t>
      </w:r>
      <w:r w:rsidR="00884E97" w:rsidRPr="003C23EC">
        <w:rPr>
          <w:vertAlign w:val="superscript"/>
        </w:rPr>
        <w:t>2</w:t>
      </w:r>
      <w:r w:rsidR="00884E97">
        <w:t xml:space="preserve">) = </w:t>
      </w:r>
      <w:r w:rsidR="00C04BB2">
        <w:t>2.43</w:t>
      </w:r>
      <w:r w:rsidR="00884E97">
        <w:t>.</w:t>
      </w:r>
    </w:p>
    <w:p w14:paraId="44C03F80" w14:textId="43CB88C9" w:rsidR="00535811" w:rsidRDefault="00535811" w:rsidP="00AC7885">
      <w:pPr>
        <w:pStyle w:val="ListParagraph"/>
        <w:numPr>
          <w:ilvl w:val="0"/>
          <w:numId w:val="8"/>
        </w:numPr>
      </w:pPr>
      <w:r>
        <w:t>Finally</w:t>
      </w:r>
      <w:r w:rsidR="00B91687">
        <w:t>,</w:t>
      </w:r>
      <w:r>
        <w:t xml:space="preserve"> the </w:t>
      </w:r>
      <w:r w:rsidR="00FA1ECA">
        <w:t>scaled costs were escalated from 2019</w:t>
      </w:r>
      <w:r w:rsidR="00007AA2">
        <w:t xml:space="preserve"> to 2020 using the 2020 RS Means City Cost Indexes (CCI)</w:t>
      </w:r>
      <w:r w:rsidR="00936849">
        <w:t>.</w:t>
      </w:r>
      <w:r w:rsidR="00723A6E">
        <w:rPr>
          <w:rStyle w:val="FootnoteReference"/>
        </w:rPr>
        <w:footnoteReference w:id="17"/>
      </w:r>
    </w:p>
    <w:p w14:paraId="5D86BBFE" w14:textId="77777777" w:rsidR="00884E97" w:rsidRDefault="00884E97" w:rsidP="003C23EC"/>
    <w:p w14:paraId="14E6D9F1" w14:textId="77777777" w:rsidR="00884E97" w:rsidRPr="004B06E3" w:rsidRDefault="00884E97" w:rsidP="00884E97">
      <w:pPr>
        <w:pStyle w:val="eTRMHeading3"/>
      </w:pPr>
      <w:bookmarkStart w:id="54" w:name="_Toc486490861"/>
      <w:bookmarkStart w:id="55" w:name="_Toc486580932"/>
      <w:bookmarkStart w:id="56" w:name="_Toc490461307"/>
      <w:bookmarkStart w:id="57" w:name="_Toc56591413"/>
      <w:r w:rsidRPr="004B06E3">
        <w:t>Measure Case Material Cost ($/unit)</w:t>
      </w:r>
      <w:bookmarkEnd w:id="54"/>
      <w:bookmarkEnd w:id="55"/>
      <w:bookmarkEnd w:id="56"/>
      <w:bookmarkEnd w:id="57"/>
    </w:p>
    <w:p w14:paraId="77439DC8" w14:textId="77777777" w:rsidR="00884E97" w:rsidRDefault="00FD580A" w:rsidP="00884E97">
      <w:r>
        <w:t xml:space="preserve">The measure case material cost is estimated using the same method as the base case cost.  </w:t>
      </w:r>
    </w:p>
    <w:p w14:paraId="7808FA70" w14:textId="77777777" w:rsidR="00884E97" w:rsidRDefault="00884E97" w:rsidP="00884E97">
      <w:pPr>
        <w:pStyle w:val="NoSpacing"/>
        <w:rPr>
          <w:rFonts w:ascii="Calibri Light" w:hAnsi="Calibri Light"/>
        </w:rPr>
      </w:pPr>
    </w:p>
    <w:p w14:paraId="0B7C9367" w14:textId="77777777" w:rsidR="00666A7D" w:rsidRDefault="00666A7D" w:rsidP="00666A7D">
      <w:pPr>
        <w:pStyle w:val="eTRMHeading3"/>
      </w:pPr>
      <w:bookmarkStart w:id="58" w:name="_Toc56591414"/>
      <w:r>
        <w:t xml:space="preserve">Base Case </w:t>
      </w:r>
      <w:r w:rsidRPr="004B06E3">
        <w:t>Labor Cost ($/unit)</w:t>
      </w:r>
      <w:bookmarkEnd w:id="58"/>
    </w:p>
    <w:p w14:paraId="452F7B82" w14:textId="77777777" w:rsidR="003C23EC" w:rsidRDefault="003C23EC" w:rsidP="003C23EC">
      <w:r>
        <w:t xml:space="preserve">The base case labor cost is estimated using the same method as the measure case labor.  </w:t>
      </w:r>
    </w:p>
    <w:p w14:paraId="49A200B2" w14:textId="77777777" w:rsidR="00666A7D" w:rsidRPr="00F77A9A" w:rsidRDefault="00666A7D" w:rsidP="00884E97">
      <w:pPr>
        <w:pStyle w:val="NoSpacing"/>
        <w:rPr>
          <w:rFonts w:ascii="Calibri Light" w:hAnsi="Calibri Light"/>
        </w:rPr>
      </w:pPr>
    </w:p>
    <w:p w14:paraId="670177AA" w14:textId="77777777" w:rsidR="00884E97" w:rsidRDefault="00666A7D" w:rsidP="00884E97">
      <w:pPr>
        <w:pStyle w:val="eTRMHeading3"/>
      </w:pPr>
      <w:bookmarkStart w:id="59" w:name="_Toc486490862"/>
      <w:bookmarkStart w:id="60" w:name="_Toc486580933"/>
      <w:bookmarkStart w:id="61" w:name="_Toc490461308"/>
      <w:bookmarkStart w:id="62" w:name="_Toc56591415"/>
      <w:r>
        <w:t xml:space="preserve">Measure Case </w:t>
      </w:r>
      <w:r w:rsidR="00884E97" w:rsidRPr="004B06E3">
        <w:t>Labor Cost ($/unit)</w:t>
      </w:r>
      <w:bookmarkEnd w:id="59"/>
      <w:bookmarkEnd w:id="60"/>
      <w:bookmarkEnd w:id="61"/>
      <w:bookmarkEnd w:id="62"/>
    </w:p>
    <w:p w14:paraId="3E58AE24" w14:textId="36CD488D" w:rsidR="00884E97" w:rsidRPr="00B91687" w:rsidRDefault="00884E97" w:rsidP="00884E97">
      <w:r w:rsidRPr="0017286B">
        <w:t xml:space="preserve">The measure case labor costs </w:t>
      </w:r>
      <w:r w:rsidR="005B11A4" w:rsidRPr="0017286B">
        <w:t>were</w:t>
      </w:r>
      <w:r w:rsidRPr="0017286B">
        <w:t xml:space="preserve"> estimated based on </w:t>
      </w:r>
      <w:r w:rsidR="00990907" w:rsidRPr="0017286B">
        <w:t>RS Means 2020 labor rate</w:t>
      </w:r>
      <w:r w:rsidR="00B04D9A" w:rsidRPr="0017286B">
        <w:t xml:space="preserve"> equivalents</w:t>
      </w:r>
      <w:r w:rsidR="00990907" w:rsidRPr="0017286B">
        <w:t xml:space="preserve"> for the labor and subcontractors</w:t>
      </w:r>
      <w:r w:rsidR="004F054F" w:rsidRPr="0017286B">
        <w:t xml:space="preserve"> descriptions </w:t>
      </w:r>
      <w:r w:rsidR="00B04D9A" w:rsidRPr="0017286B">
        <w:t>adopted from</w:t>
      </w:r>
      <w:r w:rsidRPr="0017286B">
        <w:t xml:space="preserve"> 2010-2012 WO017 Ex Ante Measure Cost Study Final Report</w:t>
      </w:r>
      <w:r w:rsidR="0094641B" w:rsidRPr="0017286B">
        <w:rPr>
          <w:rStyle w:val="FootnoteReference"/>
        </w:rPr>
        <w:footnoteReference w:id="18"/>
      </w:r>
      <w:r w:rsidR="0094641B" w:rsidRPr="0017286B">
        <w:t xml:space="preserve"> </w:t>
      </w:r>
      <w:r w:rsidRPr="0017286B">
        <w:t xml:space="preserve">prepared by </w:t>
      </w:r>
      <w:proofErr w:type="spellStart"/>
      <w:r w:rsidRPr="0017286B">
        <w:t>Itron</w:t>
      </w:r>
      <w:proofErr w:type="spellEnd"/>
      <w:r w:rsidR="00233F52" w:rsidRPr="0017286B">
        <w:t>, Inc.</w:t>
      </w:r>
      <w:r w:rsidR="00233F52" w:rsidRPr="00B91687">
        <w:t xml:space="preserve"> </w:t>
      </w:r>
      <w:r w:rsidR="00B04D9A" w:rsidRPr="00B91687">
        <w:t xml:space="preserve">Labor hours were also adopted from </w:t>
      </w:r>
      <w:r w:rsidR="00F46AA0" w:rsidRPr="00B91687">
        <w:t>the W0017 Cost Study.</w:t>
      </w:r>
    </w:p>
    <w:p w14:paraId="58BB2F54" w14:textId="77777777" w:rsidR="006B7B9A" w:rsidRPr="00B91687" w:rsidRDefault="00884E97" w:rsidP="00233F52">
      <w:r w:rsidRPr="0017286B">
        <w:t xml:space="preserve">The labor cost </w:t>
      </w:r>
      <w:r w:rsidR="00233F52" w:rsidRPr="0017286B">
        <w:t>to install a</w:t>
      </w:r>
      <w:r w:rsidRPr="0017286B">
        <w:t xml:space="preserve"> remote condensing display case </w:t>
      </w:r>
      <w:r w:rsidR="00233F52" w:rsidRPr="0017286B">
        <w:t xml:space="preserve">based upon the cost to install </w:t>
      </w:r>
      <w:r w:rsidRPr="0017286B">
        <w:t>a similar display case</w:t>
      </w:r>
      <w:r w:rsidR="00233F52" w:rsidRPr="0017286B">
        <w:t xml:space="preserve"> (</w:t>
      </w:r>
      <w:r w:rsidRPr="0017286B">
        <w:rPr>
          <w:i/>
        </w:rPr>
        <w:t>Measure 4: Replace Open Medium-Temperature Display Cases with New Cases with Reach-In Doors</w:t>
      </w:r>
      <w:r w:rsidR="00AF3E70" w:rsidRPr="0017286B">
        <w:rPr>
          <w:i/>
        </w:rPr>
        <w:t xml:space="preserve">, </w:t>
      </w:r>
      <w:r w:rsidRPr="0017286B">
        <w:t>Appendix C of WO017</w:t>
      </w:r>
      <w:r w:rsidR="00AF3E70" w:rsidRPr="0017286B">
        <w:t>)</w:t>
      </w:r>
      <w:r w:rsidR="004F054F" w:rsidRPr="0017286B">
        <w:t xml:space="preserve"> </w:t>
      </w:r>
      <w:r w:rsidR="00552EF7" w:rsidRPr="0017286B">
        <w:t>detailed the specific labor and subcontractor description</w:t>
      </w:r>
      <w:r w:rsidR="00AF3E70" w:rsidRPr="0017286B">
        <w:t>.</w:t>
      </w:r>
      <w:r w:rsidR="00FB6E37" w:rsidRPr="00B91687">
        <w:t xml:space="preserve"> </w:t>
      </w:r>
    </w:p>
    <w:p w14:paraId="0E11E233" w14:textId="4CE3FB6D" w:rsidR="00DF694C" w:rsidRDefault="006B7B9A" w:rsidP="00233F52">
      <w:r w:rsidRPr="00B91687">
        <w:t>The total labor cost to replace a 124-ft length case includes the costs of pumping down the system, removing old cases and resett</w:t>
      </w:r>
      <w:r w:rsidRPr="00053715">
        <w:t xml:space="preserve">ing new ones, changing suction risers, </w:t>
      </w:r>
      <w:r>
        <w:t>and</w:t>
      </w:r>
      <w:r w:rsidRPr="00053715">
        <w:t xml:space="preserve"> charging and restarting </w:t>
      </w:r>
      <w:r>
        <w:t xml:space="preserve">the </w:t>
      </w:r>
      <w:r w:rsidRPr="00053715">
        <w:lastRenderedPageBreak/>
        <w:t>system.</w:t>
      </w:r>
      <w:r>
        <w:t xml:space="preserve"> </w:t>
      </w:r>
      <w:r w:rsidR="00552EF7">
        <w:t xml:space="preserve">These </w:t>
      </w:r>
      <w:r>
        <w:t>labor descriptions</w:t>
      </w:r>
      <w:r w:rsidR="00552EF7">
        <w:t xml:space="preserve"> were translated to </w:t>
      </w:r>
      <w:r w:rsidR="00FB6E37">
        <w:t xml:space="preserve">2020 </w:t>
      </w:r>
      <w:r w:rsidR="00552EF7">
        <w:t>RS Means labor rate</w:t>
      </w:r>
      <w:r w:rsidR="00FB6E37">
        <w:t xml:space="preserve"> equivalent trades as follows</w:t>
      </w:r>
      <w:r w:rsidR="00D07E6F">
        <w:rPr>
          <w:rStyle w:val="FootnoteReference"/>
        </w:rPr>
        <w:footnoteReference w:id="19"/>
      </w:r>
      <w:r w:rsidR="00FB6E37">
        <w:t>:</w:t>
      </w:r>
    </w:p>
    <w:p w14:paraId="11432196" w14:textId="6131748A" w:rsidR="00DF694C" w:rsidRDefault="00FB6E37" w:rsidP="00DF694C">
      <w:pPr>
        <w:pStyle w:val="ListParagraph"/>
        <w:numPr>
          <w:ilvl w:val="0"/>
          <w:numId w:val="19"/>
        </w:numPr>
      </w:pPr>
      <w:r>
        <w:t>Foreman Average, Inside</w:t>
      </w:r>
    </w:p>
    <w:p w14:paraId="568C23CD" w14:textId="2BC15850" w:rsidR="00FB6E37" w:rsidRDefault="00FB6E37" w:rsidP="00DF694C">
      <w:pPr>
        <w:pStyle w:val="ListParagraph"/>
        <w:numPr>
          <w:ilvl w:val="0"/>
          <w:numId w:val="19"/>
        </w:numPr>
      </w:pPr>
      <w:r>
        <w:t>Electrician</w:t>
      </w:r>
    </w:p>
    <w:p w14:paraId="33013B42" w14:textId="17946F30" w:rsidR="00FB6E37" w:rsidRDefault="00FB6E37" w:rsidP="00FB6E37">
      <w:pPr>
        <w:pStyle w:val="ListParagraph"/>
        <w:numPr>
          <w:ilvl w:val="0"/>
          <w:numId w:val="19"/>
        </w:numPr>
      </w:pPr>
      <w:r>
        <w:t>Plumber</w:t>
      </w:r>
    </w:p>
    <w:p w14:paraId="347A4E65" w14:textId="5B97EE6F" w:rsidR="00FB6E37" w:rsidRDefault="00FB6E37" w:rsidP="0017286B">
      <w:pPr>
        <w:pStyle w:val="ListParagraph"/>
        <w:numPr>
          <w:ilvl w:val="0"/>
          <w:numId w:val="19"/>
        </w:numPr>
      </w:pPr>
      <w:r>
        <w:t>Steamfitter</w:t>
      </w:r>
    </w:p>
    <w:p w14:paraId="5DEA721A" w14:textId="77777777" w:rsidR="00884E97" w:rsidRDefault="00884E97" w:rsidP="00884E97">
      <w:pPr>
        <w:pStyle w:val="NoSpacing"/>
        <w:rPr>
          <w:rFonts w:ascii="Calibri Light" w:hAnsi="Calibri Light"/>
        </w:rPr>
      </w:pPr>
      <w:r>
        <w:rPr>
          <w:rFonts w:ascii="Calibri Light" w:hAnsi="Calibri Light"/>
        </w:rPr>
        <w:t>To apply these labor costs to the measures, the following adjustments were made:</w:t>
      </w:r>
    </w:p>
    <w:p w14:paraId="136B4480" w14:textId="3CB8F5D8" w:rsidR="003201D4" w:rsidRPr="0017286B" w:rsidRDefault="003201D4" w:rsidP="00AC7885">
      <w:pPr>
        <w:pStyle w:val="ListParagraph"/>
        <w:numPr>
          <w:ilvl w:val="0"/>
          <w:numId w:val="9"/>
        </w:numPr>
      </w:pPr>
      <w:r w:rsidRPr="0017286B">
        <w:t xml:space="preserve">The total cost per unit length of the 124-ft case was </w:t>
      </w:r>
      <w:r w:rsidR="00F46AA0" w:rsidRPr="0017286B">
        <w:t>estimated</w:t>
      </w:r>
      <w:r w:rsidRPr="0017286B">
        <w:t xml:space="preserve"> as the </w:t>
      </w:r>
      <w:r w:rsidR="00F46AA0" w:rsidRPr="0017286B">
        <w:t>sum product of the 2020 RS Means equivalent labor rates and the adopted labor hours from the W0017 Cost Study.</w:t>
      </w:r>
    </w:p>
    <w:p w14:paraId="062836B3" w14:textId="1E52BF0B" w:rsidR="00884E97" w:rsidRPr="0017286B" w:rsidRDefault="00884E97" w:rsidP="00AC7885">
      <w:pPr>
        <w:pStyle w:val="ListParagraph"/>
        <w:numPr>
          <w:ilvl w:val="0"/>
          <w:numId w:val="9"/>
        </w:numPr>
      </w:pPr>
      <w:r w:rsidRPr="0017286B">
        <w:t xml:space="preserve">The cost per unit length </w:t>
      </w:r>
      <w:r w:rsidR="000C29CA" w:rsidRPr="0017286B">
        <w:t>for the 124-ft length case</w:t>
      </w:r>
      <w:r w:rsidRPr="0017286B">
        <w:t xml:space="preserve"> was scaled linearly to assume a 6-ft length case.</w:t>
      </w:r>
    </w:p>
    <w:p w14:paraId="4FC7300B" w14:textId="41D1B394" w:rsidR="00504F72" w:rsidRPr="0017286B" w:rsidRDefault="009A2BB7" w:rsidP="00AC7885">
      <w:pPr>
        <w:pStyle w:val="ListParagraph"/>
        <w:numPr>
          <w:ilvl w:val="0"/>
          <w:numId w:val="9"/>
        </w:numPr>
      </w:pPr>
      <w:r w:rsidRPr="0017286B">
        <w:t xml:space="preserve">To adjust the </w:t>
      </w:r>
      <w:r w:rsidR="00884E97" w:rsidRPr="0017286B">
        <w:t>labor rate</w:t>
      </w:r>
      <w:r w:rsidRPr="0017286B">
        <w:t xml:space="preserve"> </w:t>
      </w:r>
      <w:r w:rsidR="00F46AA0" w:rsidRPr="0017286B">
        <w:t xml:space="preserve">from </w:t>
      </w:r>
      <w:r w:rsidRPr="0017286B">
        <w:t xml:space="preserve">2019 dollars, </w:t>
      </w:r>
      <w:r w:rsidR="00AF3E70" w:rsidRPr="0017286B">
        <w:t xml:space="preserve">an adjustment (inflation) factor that represents the ratio of </w:t>
      </w:r>
      <w:r w:rsidR="00884E97" w:rsidRPr="0017286B">
        <w:t>labor costs</w:t>
      </w:r>
      <w:r w:rsidR="00504F72" w:rsidRPr="0017286B">
        <w:t xml:space="preserve"> from </w:t>
      </w:r>
      <w:proofErr w:type="spellStart"/>
      <w:r w:rsidR="00504F72" w:rsidRPr="0017286B">
        <w:t>RSMeans</w:t>
      </w:r>
      <w:proofErr w:type="spellEnd"/>
      <w:r w:rsidR="00504F72" w:rsidRPr="0017286B">
        <w:t xml:space="preserve"> </w:t>
      </w:r>
      <w:r w:rsidR="00F46AA0" w:rsidRPr="0017286B">
        <w:t xml:space="preserve">2019 </w:t>
      </w:r>
      <w:r w:rsidR="00504F72" w:rsidRPr="0017286B">
        <w:t xml:space="preserve">to </w:t>
      </w:r>
      <w:proofErr w:type="spellStart"/>
      <w:r w:rsidR="00504F72" w:rsidRPr="0017286B">
        <w:t>RSMeans</w:t>
      </w:r>
      <w:proofErr w:type="spellEnd"/>
      <w:r w:rsidR="00504F72" w:rsidRPr="0017286B">
        <w:t xml:space="preserve"> </w:t>
      </w:r>
      <w:r w:rsidR="00F46AA0" w:rsidRPr="0017286B">
        <w:t xml:space="preserve">2020 </w:t>
      </w:r>
      <w:r w:rsidRPr="0017286B">
        <w:t>was applied to labor costs</w:t>
      </w:r>
      <w:r w:rsidR="00F46AA0" w:rsidRPr="0017286B">
        <w:t xml:space="preserve"> estimate.</w:t>
      </w:r>
      <w:r w:rsidRPr="0017286B">
        <w:t xml:space="preserve"> </w:t>
      </w:r>
      <w:r w:rsidR="006B3218" w:rsidRPr="0017286B">
        <w:t xml:space="preserve">The inflation factor </w:t>
      </w:r>
      <w:r w:rsidRPr="0017286B">
        <w:t>was</w:t>
      </w:r>
      <w:r w:rsidR="006B3218" w:rsidRPr="0017286B">
        <w:t xml:space="preserve"> calculated to be </w:t>
      </w:r>
      <w:r w:rsidR="0042493A" w:rsidRPr="0017286B">
        <w:t>0</w:t>
      </w:r>
      <w:r w:rsidR="006B3218" w:rsidRPr="0017286B">
        <w:t>.</w:t>
      </w:r>
      <w:r w:rsidR="0042493A" w:rsidRPr="0017286B">
        <w:t>9</w:t>
      </w:r>
      <w:r w:rsidR="006B3218" w:rsidRPr="0017286B">
        <w:t xml:space="preserve">%. </w:t>
      </w:r>
    </w:p>
    <w:p w14:paraId="278AE69F" w14:textId="77777777" w:rsidR="009A2BB7" w:rsidRPr="00053715" w:rsidRDefault="009A2BB7" w:rsidP="009A2BB7">
      <w:r w:rsidRPr="00B91687">
        <w:t>Based on a manufacture survey,</w:t>
      </w:r>
      <w:r w:rsidR="009B471A" w:rsidRPr="00B91687">
        <w:rPr>
          <w:rStyle w:val="FootnoteReference"/>
        </w:rPr>
        <w:footnoteReference w:id="20"/>
      </w:r>
      <w:r w:rsidRPr="00B91687">
        <w:t xml:space="preserve"> there is no cost for installing a self‐contained display case, assuming the building has the appropriate electric circu</w:t>
      </w:r>
      <w:r w:rsidRPr="00053715">
        <w:t xml:space="preserve">it. </w:t>
      </w:r>
    </w:p>
    <w:p w14:paraId="17D0F959" w14:textId="77777777" w:rsidR="00E01894" w:rsidRPr="00053715" w:rsidRDefault="00E01894" w:rsidP="00053715">
      <w:pPr>
        <w:pStyle w:val="NoSpacing"/>
        <w:rPr>
          <w:rFonts w:ascii="Calibri Light" w:hAnsi="Calibri Light"/>
        </w:rPr>
      </w:pPr>
    </w:p>
    <w:p w14:paraId="46FA91D7" w14:textId="77777777" w:rsidR="008A26EC" w:rsidRPr="004B06E3" w:rsidRDefault="00D6376F" w:rsidP="00A01960">
      <w:pPr>
        <w:pStyle w:val="eTRMHeading3"/>
      </w:pPr>
      <w:bookmarkStart w:id="63" w:name="_Toc486490863"/>
      <w:bookmarkStart w:id="64" w:name="_Toc486580934"/>
      <w:bookmarkStart w:id="65" w:name="_Toc490461309"/>
      <w:bookmarkStart w:id="66" w:name="_Toc56591416"/>
      <w:r>
        <w:t>Net-to-Gross</w:t>
      </w:r>
      <w:bookmarkEnd w:id="63"/>
      <w:bookmarkEnd w:id="64"/>
      <w:r>
        <w:t xml:space="preserve"> (NTG)</w:t>
      </w:r>
      <w:bookmarkEnd w:id="65"/>
      <w:bookmarkEnd w:id="66"/>
    </w:p>
    <w:p w14:paraId="15B9BC06" w14:textId="77777777" w:rsidR="00CA708D" w:rsidRDefault="00A71B47" w:rsidP="00CA708D">
      <w:r w:rsidRPr="00860FEC">
        <w:t>The net-to-gross (NTG) ratio represents the portion of gross impacts that are determined to be directly attributed to a specific program intervention.</w:t>
      </w:r>
      <w:r>
        <w:t xml:space="preserve"> </w:t>
      </w:r>
      <w:r w:rsidR="00CA708D" w:rsidRPr="00BE1C88">
        <w:t>The</w:t>
      </w:r>
      <w:r w:rsidR="00CA708D">
        <w:t>se</w:t>
      </w:r>
      <w:r w:rsidR="00CA708D" w:rsidRPr="00BE1C88">
        <w:t xml:space="preserve"> NTG values are based upon the average of all NTG ratios for all evaluated 2006 – 2008 </w:t>
      </w:r>
      <w:r w:rsidR="00CA708D">
        <w:t xml:space="preserve">commercial, industrial, and agriculture </w:t>
      </w:r>
      <w:r w:rsidR="00CA708D" w:rsidRPr="00BE1C88">
        <w:t xml:space="preserve">programs, as documented in the 2011 DEER Update Study conducted by </w:t>
      </w:r>
      <w:proofErr w:type="spellStart"/>
      <w:r w:rsidR="00CA708D" w:rsidRPr="00BE1C88">
        <w:t>Itron</w:t>
      </w:r>
      <w:proofErr w:type="spellEnd"/>
      <w:r w:rsidR="00CA708D" w:rsidRPr="00BE1C88">
        <w:t xml:space="preserve">, Inc. </w:t>
      </w:r>
      <w:r w:rsidR="00CA708D">
        <w:t xml:space="preserve">These </w:t>
      </w:r>
      <w:r w:rsidR="00CA708D" w:rsidRPr="00BE1C88">
        <w:t>sector average NTGs (“default NTGs”) are applicable to all new energy efficiency measures that have been offered through</w:t>
      </w:r>
      <w:r w:rsidR="00CA708D">
        <w:t xml:space="preserve"> commercial, industrial, and agriculture </w:t>
      </w:r>
      <w:r w:rsidR="00CA708D" w:rsidRPr="00BE1C88">
        <w:t xml:space="preserve">sector programs for </w:t>
      </w:r>
      <w:r w:rsidR="00CA708D">
        <w:t>more</w:t>
      </w:r>
      <w:r w:rsidR="00CA708D" w:rsidRPr="00BE1C88">
        <w:t xml:space="preserve"> than two years and for which impact evaluation results are not available. </w:t>
      </w:r>
    </w:p>
    <w:p w14:paraId="116F00A2" w14:textId="77777777" w:rsidR="00226256" w:rsidRPr="00226256" w:rsidRDefault="00226256" w:rsidP="00407B6B">
      <w:pPr>
        <w:pStyle w:val="Caption"/>
      </w:pPr>
      <w:r w:rsidRPr="00226256">
        <w:t>Net-to-Gross Ratios</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230"/>
        <w:gridCol w:w="1415"/>
        <w:gridCol w:w="3865"/>
      </w:tblGrid>
      <w:tr w:rsidR="006235C4" w:rsidRPr="0059426D" w14:paraId="157341B2" w14:textId="77777777" w:rsidTr="006235C4">
        <w:trPr>
          <w:cantSplit/>
          <w:trHeight w:val="20"/>
        </w:trPr>
        <w:tc>
          <w:tcPr>
            <w:tcW w:w="4230" w:type="dxa"/>
            <w:shd w:val="clear" w:color="000000" w:fill="F2F2F2" w:themeFill="background1" w:themeFillShade="F2"/>
            <w:vAlign w:val="center"/>
          </w:tcPr>
          <w:p w14:paraId="6A780125" w14:textId="77777777" w:rsidR="006235C4" w:rsidRPr="0059426D" w:rsidRDefault="00CA708D" w:rsidP="003A4642">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15" w:type="dxa"/>
            <w:shd w:val="clear" w:color="000000" w:fill="F2F2F2" w:themeFill="background1" w:themeFillShade="F2"/>
            <w:vAlign w:val="center"/>
          </w:tcPr>
          <w:p w14:paraId="18D0CE6C" w14:textId="77777777" w:rsidR="006235C4" w:rsidRPr="007E76BD" w:rsidRDefault="006235C4" w:rsidP="003A4642">
            <w:pPr>
              <w:keepNext/>
              <w:keepLines/>
              <w:spacing w:before="0" w:after="0" w:line="200" w:lineRule="atLeast"/>
              <w:jc w:val="center"/>
              <w:rPr>
                <w:rFonts w:cs="Arial"/>
                <w:b/>
                <w:color w:val="000000"/>
                <w:sz w:val="20"/>
                <w:szCs w:val="20"/>
              </w:rPr>
            </w:pPr>
            <w:r w:rsidRPr="007E76BD">
              <w:rPr>
                <w:rFonts w:cs="Arial"/>
                <w:b/>
                <w:color w:val="000000"/>
                <w:sz w:val="20"/>
                <w:szCs w:val="20"/>
              </w:rPr>
              <w:t xml:space="preserve">NTG </w:t>
            </w:r>
          </w:p>
        </w:tc>
        <w:tc>
          <w:tcPr>
            <w:tcW w:w="3865" w:type="dxa"/>
            <w:shd w:val="clear" w:color="000000" w:fill="F2F2F2" w:themeFill="background1" w:themeFillShade="F2"/>
            <w:vAlign w:val="center"/>
          </w:tcPr>
          <w:p w14:paraId="1D8BC0E1" w14:textId="77777777" w:rsidR="006235C4" w:rsidRDefault="006235C4" w:rsidP="003A4642">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942611" w:rsidRPr="0059426D" w14:paraId="689A314D" w14:textId="77777777" w:rsidTr="00F96706">
        <w:trPr>
          <w:cantSplit/>
          <w:trHeight w:val="881"/>
        </w:trPr>
        <w:tc>
          <w:tcPr>
            <w:tcW w:w="4230" w:type="dxa"/>
            <w:vAlign w:val="center"/>
          </w:tcPr>
          <w:p w14:paraId="32F79757" w14:textId="377A4D8C" w:rsidR="00942611" w:rsidRDefault="001901DD" w:rsidP="00705CB3">
            <w:pPr>
              <w:keepNext/>
              <w:keepLines/>
              <w:spacing w:before="0" w:after="0" w:line="200" w:lineRule="atLeast"/>
              <w:rPr>
                <w:rFonts w:cstheme="minorHAnsi"/>
                <w:sz w:val="20"/>
                <w:szCs w:val="20"/>
              </w:rPr>
            </w:pPr>
            <w:r>
              <w:rPr>
                <w:rFonts w:cstheme="minorHAnsi"/>
                <w:sz w:val="20"/>
                <w:szCs w:val="20"/>
              </w:rPr>
              <w:t xml:space="preserve">ID: </w:t>
            </w:r>
            <w:r w:rsidR="004B3AD3" w:rsidRPr="004B3AD3">
              <w:rPr>
                <w:rFonts w:cstheme="minorHAnsi"/>
                <w:sz w:val="20"/>
                <w:szCs w:val="20"/>
              </w:rPr>
              <w:t>Com-Default&gt;2yrs</w:t>
            </w:r>
          </w:p>
          <w:p w14:paraId="23DAFC1F" w14:textId="3992A93E" w:rsidR="004B3AD3" w:rsidRPr="0059426D" w:rsidRDefault="001901DD" w:rsidP="00705CB3">
            <w:pPr>
              <w:keepNext/>
              <w:keepLines/>
              <w:spacing w:before="0" w:after="0" w:line="200" w:lineRule="atLeast"/>
              <w:rPr>
                <w:rFonts w:cstheme="minorHAnsi"/>
                <w:sz w:val="20"/>
                <w:szCs w:val="20"/>
              </w:rPr>
            </w:pPr>
            <w:r>
              <w:rPr>
                <w:rFonts w:cstheme="minorHAnsi"/>
                <w:sz w:val="20"/>
                <w:szCs w:val="20"/>
              </w:rPr>
              <w:t xml:space="preserve">ID: </w:t>
            </w:r>
            <w:r w:rsidR="009B0AC9" w:rsidRPr="009B0AC9">
              <w:rPr>
                <w:rFonts w:cstheme="minorHAnsi"/>
                <w:sz w:val="20"/>
                <w:szCs w:val="20"/>
              </w:rPr>
              <w:t>Agric-Default&gt;2yrs</w:t>
            </w:r>
          </w:p>
          <w:p w14:paraId="01AC07DC" w14:textId="12C9A921" w:rsidR="00942611" w:rsidRPr="0059426D" w:rsidRDefault="001901DD" w:rsidP="00705CB3">
            <w:pPr>
              <w:keepNext/>
              <w:keepLines/>
              <w:spacing w:before="0" w:after="0" w:line="200" w:lineRule="atLeast"/>
              <w:rPr>
                <w:rFonts w:cstheme="minorHAnsi"/>
                <w:sz w:val="20"/>
                <w:szCs w:val="20"/>
              </w:rPr>
            </w:pPr>
            <w:r>
              <w:rPr>
                <w:rFonts w:cstheme="minorHAnsi"/>
                <w:sz w:val="20"/>
                <w:szCs w:val="20"/>
              </w:rPr>
              <w:t xml:space="preserve">ID: </w:t>
            </w:r>
            <w:r w:rsidR="009B0AC9" w:rsidRPr="009B0AC9">
              <w:rPr>
                <w:rFonts w:cstheme="minorHAnsi"/>
                <w:sz w:val="20"/>
                <w:szCs w:val="20"/>
              </w:rPr>
              <w:t>Ind-Default&gt;2yrs</w:t>
            </w:r>
          </w:p>
        </w:tc>
        <w:tc>
          <w:tcPr>
            <w:tcW w:w="1415" w:type="dxa"/>
            <w:shd w:val="clear" w:color="auto" w:fill="auto"/>
            <w:noWrap/>
            <w:vAlign w:val="center"/>
          </w:tcPr>
          <w:p w14:paraId="3FB62D42" w14:textId="48E01CAA" w:rsidR="00942611" w:rsidRPr="007E76BD" w:rsidRDefault="00942611">
            <w:pPr>
              <w:keepNext/>
              <w:keepLines/>
              <w:spacing w:before="0" w:after="0" w:line="200" w:lineRule="atLeast"/>
              <w:jc w:val="center"/>
              <w:rPr>
                <w:color w:val="000000"/>
                <w:sz w:val="20"/>
                <w:szCs w:val="20"/>
              </w:rPr>
            </w:pPr>
            <w:r w:rsidRPr="007E76BD">
              <w:rPr>
                <w:rFonts w:cstheme="minorHAnsi"/>
                <w:sz w:val="20"/>
                <w:szCs w:val="20"/>
              </w:rPr>
              <w:t>0.6</w:t>
            </w:r>
            <w:r>
              <w:rPr>
                <w:rFonts w:cstheme="minorHAnsi"/>
                <w:sz w:val="20"/>
                <w:szCs w:val="20"/>
              </w:rPr>
              <w:t>0</w:t>
            </w:r>
          </w:p>
        </w:tc>
        <w:tc>
          <w:tcPr>
            <w:tcW w:w="3865" w:type="dxa"/>
            <w:vAlign w:val="center"/>
          </w:tcPr>
          <w:p w14:paraId="4AF30882" w14:textId="77777777" w:rsidR="00942611" w:rsidRDefault="00942611" w:rsidP="00C565BC">
            <w:pPr>
              <w:keepNext/>
              <w:keepLines/>
              <w:spacing w:before="0" w:after="0" w:line="200" w:lineRule="atLeast"/>
              <w:rPr>
                <w:color w:val="000000"/>
                <w:sz w:val="20"/>
                <w:szCs w:val="20"/>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1AA365F3" w14:textId="77777777" w:rsidR="00DB3826" w:rsidRDefault="00DB3826"/>
    <w:p w14:paraId="55209935" w14:textId="77777777" w:rsidR="00D6376F" w:rsidRPr="004B06E3" w:rsidRDefault="00D6376F" w:rsidP="00A01960">
      <w:pPr>
        <w:pStyle w:val="eTRMHeading3"/>
      </w:pPr>
      <w:bookmarkStart w:id="67" w:name="_Toc486490864"/>
      <w:bookmarkStart w:id="68" w:name="_Toc486580935"/>
      <w:bookmarkStart w:id="69" w:name="_Toc490461310"/>
      <w:bookmarkStart w:id="70" w:name="_Toc56591417"/>
      <w:r>
        <w:t>Gross Savings Installation Adjustment (</w:t>
      </w:r>
      <w:r w:rsidRPr="004B06E3">
        <w:t>GSIA</w:t>
      </w:r>
      <w:bookmarkEnd w:id="67"/>
      <w:bookmarkEnd w:id="68"/>
      <w:r>
        <w:t>)</w:t>
      </w:r>
      <w:bookmarkEnd w:id="69"/>
      <w:bookmarkEnd w:id="70"/>
    </w:p>
    <w:p w14:paraId="5EA2761F" w14:textId="77777777" w:rsidR="000352D9" w:rsidRDefault="007E652E" w:rsidP="000352D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AD00D3">
        <w:lastRenderedPageBreak/>
        <w:t>varies by end use, sector, technology, application, and delivery method.</w:t>
      </w:r>
      <w:r>
        <w:t xml:space="preserve"> </w:t>
      </w:r>
      <w:r w:rsidR="000352D9">
        <w:t>This GSIA rate is the current “default” rate specified for measures for which an alternative GSIA has not been estimated and approved.</w:t>
      </w:r>
    </w:p>
    <w:p w14:paraId="199A645F" w14:textId="77777777" w:rsidR="000352D9" w:rsidRPr="0059426D" w:rsidRDefault="000352D9" w:rsidP="000352D9">
      <w:pPr>
        <w:pStyle w:val="Caption"/>
      </w:pPr>
      <w:r>
        <w:t>Gross Savings Installation Adjustment Rates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0352D9" w:rsidRPr="00052C24" w14:paraId="460161B8" w14:textId="77777777" w:rsidTr="00705CB3">
        <w:tc>
          <w:tcPr>
            <w:tcW w:w="2190" w:type="dxa"/>
            <w:shd w:val="clear" w:color="auto" w:fill="F2F2F2" w:themeFill="background1" w:themeFillShade="F2"/>
            <w:vAlign w:val="bottom"/>
          </w:tcPr>
          <w:p w14:paraId="53095392" w14:textId="77777777" w:rsidR="000352D9" w:rsidRPr="00052C24" w:rsidRDefault="000352D9" w:rsidP="00705CB3">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27D7F7AF" w14:textId="77777777" w:rsidR="000352D9" w:rsidRPr="00052C24" w:rsidRDefault="000352D9" w:rsidP="00705CB3">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2345C0C7" w14:textId="77777777" w:rsidR="000352D9" w:rsidRDefault="000352D9" w:rsidP="00705CB3">
            <w:pPr>
              <w:keepNext/>
              <w:keepLines/>
              <w:spacing w:before="0" w:after="0" w:line="200" w:lineRule="atLeast"/>
              <w:jc w:val="center"/>
              <w:rPr>
                <w:b/>
                <w:sz w:val="20"/>
              </w:rPr>
            </w:pPr>
            <w:r>
              <w:rPr>
                <w:b/>
                <w:sz w:val="20"/>
              </w:rPr>
              <w:t>Source</w:t>
            </w:r>
          </w:p>
        </w:tc>
      </w:tr>
      <w:tr w:rsidR="000352D9" w:rsidRPr="009062D0" w14:paraId="05EA542B" w14:textId="77777777" w:rsidTr="00705CB3">
        <w:trPr>
          <w:trHeight w:val="260"/>
        </w:trPr>
        <w:tc>
          <w:tcPr>
            <w:tcW w:w="2190" w:type="dxa"/>
            <w:vAlign w:val="center"/>
          </w:tcPr>
          <w:p w14:paraId="3E0E9800" w14:textId="226BC13D" w:rsidR="000352D9" w:rsidRPr="009062D0" w:rsidRDefault="000352D9" w:rsidP="00705CB3">
            <w:pPr>
              <w:keepNext/>
              <w:keepLines/>
              <w:spacing w:before="0" w:after="0" w:line="200" w:lineRule="atLeast"/>
              <w:rPr>
                <w:sz w:val="20"/>
              </w:rPr>
            </w:pPr>
            <w:r>
              <w:rPr>
                <w:sz w:val="20"/>
              </w:rPr>
              <w:t>GSIA</w:t>
            </w:r>
            <w:r w:rsidR="001901DD">
              <w:rPr>
                <w:sz w:val="20"/>
              </w:rPr>
              <w:br/>
              <w:t xml:space="preserve">ID: </w:t>
            </w:r>
            <w:r w:rsidR="001901DD" w:rsidRPr="001901DD">
              <w:rPr>
                <w:sz w:val="20"/>
              </w:rPr>
              <w:t>Def-GSIA</w:t>
            </w:r>
          </w:p>
        </w:tc>
        <w:tc>
          <w:tcPr>
            <w:tcW w:w="1620" w:type="dxa"/>
            <w:shd w:val="clear" w:color="auto" w:fill="auto"/>
            <w:vAlign w:val="center"/>
          </w:tcPr>
          <w:p w14:paraId="50EA0EC4" w14:textId="77777777" w:rsidR="000352D9" w:rsidRPr="00E86DF6" w:rsidRDefault="000352D9" w:rsidP="00705CB3">
            <w:pPr>
              <w:keepNext/>
              <w:keepLines/>
              <w:spacing w:before="0" w:after="0" w:line="200" w:lineRule="atLeast"/>
              <w:jc w:val="center"/>
              <w:rPr>
                <w:sz w:val="20"/>
              </w:rPr>
            </w:pPr>
            <w:r w:rsidRPr="00E86DF6">
              <w:rPr>
                <w:sz w:val="20"/>
                <w:szCs w:val="20"/>
              </w:rPr>
              <w:t>1.0</w:t>
            </w:r>
          </w:p>
        </w:tc>
        <w:tc>
          <w:tcPr>
            <w:tcW w:w="5190" w:type="dxa"/>
            <w:vAlign w:val="center"/>
          </w:tcPr>
          <w:p w14:paraId="3E455C15" w14:textId="77777777" w:rsidR="000352D9" w:rsidRPr="009062D0" w:rsidRDefault="000352D9" w:rsidP="00705CB3">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9ABB47D" w14:textId="77777777" w:rsidR="00D6376F" w:rsidRPr="004B06E3" w:rsidRDefault="00D6376F" w:rsidP="000352D9"/>
    <w:p w14:paraId="1B37E219" w14:textId="77777777" w:rsidR="00D6376F" w:rsidRPr="004B06E3" w:rsidRDefault="00D6376F" w:rsidP="00A01960">
      <w:pPr>
        <w:pStyle w:val="eTRMHeading3"/>
      </w:pPr>
      <w:bookmarkStart w:id="71" w:name="_Toc486490865"/>
      <w:bookmarkStart w:id="72" w:name="_Toc486580936"/>
      <w:bookmarkStart w:id="73" w:name="_Toc490461311"/>
      <w:bookmarkStart w:id="74" w:name="_Toc56591418"/>
      <w:r w:rsidRPr="004B06E3">
        <w:t xml:space="preserve">Non-Energy </w:t>
      </w:r>
      <w:bookmarkEnd w:id="71"/>
      <w:bookmarkEnd w:id="72"/>
      <w:bookmarkEnd w:id="73"/>
      <w:r w:rsidR="00852A0D">
        <w:t>Impacts</w:t>
      </w:r>
      <w:bookmarkEnd w:id="74"/>
    </w:p>
    <w:p w14:paraId="49E9A5E2" w14:textId="77777777" w:rsidR="00852A0D" w:rsidRDefault="00852A0D" w:rsidP="00852A0D">
      <w:r>
        <w:t>Non-energy impacts for this measure have not been quantified.</w:t>
      </w:r>
    </w:p>
    <w:p w14:paraId="238DAFE9" w14:textId="77777777" w:rsidR="00852A0D" w:rsidRPr="004B06E3" w:rsidRDefault="00852A0D" w:rsidP="00D6376F"/>
    <w:p w14:paraId="0DA24B33" w14:textId="77777777" w:rsidR="00D6376F" w:rsidRPr="004B06E3" w:rsidRDefault="00D6376F" w:rsidP="00631653">
      <w:pPr>
        <w:pStyle w:val="eTRMHeading3"/>
        <w:keepNext w:val="0"/>
        <w:keepLines w:val="0"/>
      </w:pPr>
      <w:bookmarkStart w:id="75" w:name="_Toc490461312"/>
      <w:bookmarkStart w:id="76" w:name="_Toc56591419"/>
      <w:r>
        <w:t>DEER Differences Analysis</w:t>
      </w:r>
      <w:bookmarkEnd w:id="75"/>
      <w:bookmarkEnd w:id="76"/>
    </w:p>
    <w:p w14:paraId="262B96EE" w14:textId="77777777" w:rsidR="001C4E2A" w:rsidRPr="004B3328" w:rsidRDefault="004B3328" w:rsidP="00631653">
      <w:pPr>
        <w:rPr>
          <w:rFonts w:cstheme="minorHAnsi"/>
          <w:szCs w:val="22"/>
        </w:rPr>
      </w:pPr>
      <w:r w:rsidRPr="004B3328">
        <w:t xml:space="preserve">This section provides a summary of DEER-based inputs and methods, and the rationale for inputs and </w:t>
      </w:r>
      <w:r w:rsidRPr="001B58D1">
        <w:t xml:space="preserve">methods that are not DEER-based. </w:t>
      </w:r>
      <w:r w:rsidR="001C4E2A" w:rsidRPr="0017286B">
        <w:rPr>
          <w:rFonts w:cstheme="minorHAnsi"/>
          <w:szCs w:val="22"/>
        </w:rPr>
        <w:t>The 2017 Federal Code standard shown in Section 1.4.2 of this work paper is developed by analytical model to simulate the performance of each display case class. The energy consumption model is explained in the DOE rule making document. In summary, the DOE energy model evaluates the following energy consumptions: case component; compressor; and heat loads by radiation,</w:t>
      </w:r>
      <w:r w:rsidR="00E01894" w:rsidRPr="0017286B">
        <w:rPr>
          <w:rFonts w:cstheme="minorHAnsi"/>
          <w:szCs w:val="22"/>
        </w:rPr>
        <w:t xml:space="preserve"> conduction, and infiltration.</w:t>
      </w:r>
      <w:r w:rsidR="00E01894" w:rsidRPr="001B58D1">
        <w:rPr>
          <w:rFonts w:cstheme="minorHAnsi"/>
          <w:szCs w:val="22"/>
        </w:rPr>
        <w:t xml:space="preserve"> </w:t>
      </w:r>
      <w:r w:rsidR="001C4E2A" w:rsidRPr="001B58D1">
        <w:rPr>
          <w:rFonts w:cstheme="minorHAnsi"/>
          <w:szCs w:val="22"/>
        </w:rPr>
        <w:t>Th</w:t>
      </w:r>
      <w:r w:rsidR="001C4E2A" w:rsidRPr="004B3328">
        <w:rPr>
          <w:rFonts w:cstheme="minorHAnsi"/>
          <w:szCs w:val="22"/>
        </w:rPr>
        <w:t xml:space="preserve">e energy conservation standards take the form of linear equations expressed as a function of the refrigerated volume or total display area (TDA); hence, DEER methodology is not used for this work paper.  </w:t>
      </w:r>
    </w:p>
    <w:p w14:paraId="7149F329" w14:textId="77777777" w:rsidR="001C4E2A" w:rsidRPr="001C4E2A" w:rsidRDefault="001C4E2A" w:rsidP="00631653">
      <w:pPr>
        <w:pStyle w:val="Caption"/>
        <w:keepNext w:val="0"/>
        <w:keepLines w:val="0"/>
        <w:rPr>
          <w:rFonts w:cs="Arial"/>
        </w:rPr>
      </w:pPr>
      <w:bookmarkStart w:id="77" w:name="_Toc385592671"/>
      <w:r w:rsidRPr="001C4E2A">
        <w:rPr>
          <w:rFonts w:cs="Arial"/>
        </w:rPr>
        <w:t>DEER Difference Summary</w:t>
      </w:r>
      <w:bookmarkEnd w:id="77"/>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71"/>
        <w:gridCol w:w="6079"/>
      </w:tblGrid>
      <w:tr w:rsidR="004B3328" w:rsidRPr="001C4E2A" w14:paraId="45AB2625" w14:textId="77777777" w:rsidTr="002075DD">
        <w:trPr>
          <w:trHeight w:val="20"/>
          <w:tblHeader/>
        </w:trPr>
        <w:tc>
          <w:tcPr>
            <w:tcW w:w="1749" w:type="pct"/>
            <w:shd w:val="clear" w:color="auto" w:fill="F2F2F2" w:themeFill="background1" w:themeFillShade="F2"/>
          </w:tcPr>
          <w:p w14:paraId="3D026FC5" w14:textId="77777777" w:rsidR="001C4E2A" w:rsidRPr="004C48EB" w:rsidRDefault="001C4E2A" w:rsidP="009B471A">
            <w:pPr>
              <w:tabs>
                <w:tab w:val="right" w:pos="2957"/>
              </w:tabs>
              <w:spacing w:before="20" w:after="20" w:line="240" w:lineRule="auto"/>
              <w:rPr>
                <w:rFonts w:cs="Arial"/>
                <w:b/>
                <w:sz w:val="20"/>
              </w:rPr>
            </w:pPr>
            <w:r w:rsidRPr="004C48EB">
              <w:rPr>
                <w:rFonts w:cs="Arial"/>
                <w:b/>
                <w:sz w:val="20"/>
              </w:rPr>
              <w:t>DEER Item</w:t>
            </w:r>
          </w:p>
        </w:tc>
        <w:tc>
          <w:tcPr>
            <w:tcW w:w="3251" w:type="pct"/>
            <w:shd w:val="clear" w:color="auto" w:fill="F2F2F2" w:themeFill="background1" w:themeFillShade="F2"/>
          </w:tcPr>
          <w:p w14:paraId="2186A66B" w14:textId="77777777" w:rsidR="001C4E2A" w:rsidRPr="004C48EB" w:rsidRDefault="001C4E2A" w:rsidP="0063095F">
            <w:pPr>
              <w:spacing w:before="20" w:after="20" w:line="240" w:lineRule="auto"/>
              <w:rPr>
                <w:rFonts w:cs="Arial"/>
                <w:b/>
                <w:sz w:val="20"/>
                <w:szCs w:val="22"/>
              </w:rPr>
            </w:pPr>
            <w:r w:rsidRPr="004C48EB">
              <w:rPr>
                <w:rFonts w:cs="Arial"/>
                <w:b/>
                <w:sz w:val="20"/>
                <w:szCs w:val="22"/>
              </w:rPr>
              <w:t xml:space="preserve">Comment </w:t>
            </w:r>
          </w:p>
        </w:tc>
      </w:tr>
      <w:tr w:rsidR="004B3328" w:rsidRPr="001C4E2A" w14:paraId="4D8D3290" w14:textId="77777777" w:rsidTr="004B3328">
        <w:trPr>
          <w:trHeight w:val="20"/>
        </w:trPr>
        <w:tc>
          <w:tcPr>
            <w:tcW w:w="1749" w:type="pct"/>
          </w:tcPr>
          <w:p w14:paraId="51E33A06" w14:textId="77777777" w:rsidR="001C4E2A" w:rsidRPr="004C48EB" w:rsidRDefault="001C4E2A" w:rsidP="009B471A">
            <w:pPr>
              <w:spacing w:before="20" w:after="20" w:line="240" w:lineRule="auto"/>
              <w:rPr>
                <w:rFonts w:cs="Arial"/>
                <w:sz w:val="20"/>
              </w:rPr>
            </w:pPr>
            <w:r w:rsidRPr="004C48EB">
              <w:rPr>
                <w:rFonts w:cs="Arial"/>
                <w:sz w:val="20"/>
              </w:rPr>
              <w:t>Modified DEER methodology</w:t>
            </w:r>
          </w:p>
        </w:tc>
        <w:tc>
          <w:tcPr>
            <w:tcW w:w="3251" w:type="pct"/>
          </w:tcPr>
          <w:p w14:paraId="1535D731" w14:textId="77777777" w:rsidR="001C4E2A" w:rsidRPr="004C48EB" w:rsidRDefault="001C4E2A" w:rsidP="0063095F">
            <w:pPr>
              <w:spacing w:before="20" w:after="20" w:line="240" w:lineRule="auto"/>
              <w:rPr>
                <w:rFonts w:cs="Arial"/>
                <w:b/>
                <w:sz w:val="20"/>
              </w:rPr>
            </w:pPr>
            <w:r w:rsidRPr="004C48EB">
              <w:rPr>
                <w:rFonts w:cs="Arial"/>
                <w:sz w:val="20"/>
              </w:rPr>
              <w:t>No</w:t>
            </w:r>
          </w:p>
        </w:tc>
      </w:tr>
      <w:tr w:rsidR="004B3328" w:rsidRPr="001C4E2A" w14:paraId="1D3ED43E" w14:textId="77777777" w:rsidTr="004B3328">
        <w:trPr>
          <w:trHeight w:val="20"/>
        </w:trPr>
        <w:tc>
          <w:tcPr>
            <w:tcW w:w="1749" w:type="pct"/>
          </w:tcPr>
          <w:p w14:paraId="3CD9AE42" w14:textId="77777777" w:rsidR="001C4E2A" w:rsidRPr="004C48EB" w:rsidRDefault="001C4E2A" w:rsidP="009B471A">
            <w:pPr>
              <w:spacing w:before="20" w:after="20" w:line="240" w:lineRule="auto"/>
              <w:rPr>
                <w:rFonts w:cs="Arial"/>
                <w:sz w:val="20"/>
              </w:rPr>
            </w:pPr>
            <w:r w:rsidRPr="004C48EB">
              <w:rPr>
                <w:rFonts w:cs="Arial"/>
                <w:sz w:val="20"/>
              </w:rPr>
              <w:t>Scaled DEER measure</w:t>
            </w:r>
          </w:p>
        </w:tc>
        <w:tc>
          <w:tcPr>
            <w:tcW w:w="3251" w:type="pct"/>
          </w:tcPr>
          <w:p w14:paraId="05FEDBB1"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3DE38E83" w14:textId="77777777" w:rsidTr="00CB2C77">
        <w:trPr>
          <w:trHeight w:val="20"/>
        </w:trPr>
        <w:tc>
          <w:tcPr>
            <w:tcW w:w="1749" w:type="pct"/>
            <w:tcBorders>
              <w:bottom w:val="single" w:sz="4" w:space="0" w:color="A6A6A6" w:themeColor="background1" w:themeShade="A6"/>
            </w:tcBorders>
          </w:tcPr>
          <w:p w14:paraId="0E61182E" w14:textId="77777777" w:rsidR="001C4E2A" w:rsidRPr="004C48EB" w:rsidRDefault="001C4E2A" w:rsidP="009B471A">
            <w:pPr>
              <w:spacing w:before="20" w:after="20" w:line="240" w:lineRule="auto"/>
              <w:rPr>
                <w:rFonts w:cs="Arial"/>
                <w:sz w:val="20"/>
              </w:rPr>
            </w:pPr>
            <w:r w:rsidRPr="004C48EB">
              <w:rPr>
                <w:rFonts w:cs="Arial"/>
                <w:sz w:val="20"/>
              </w:rPr>
              <w:t>DEER Base Case</w:t>
            </w:r>
          </w:p>
        </w:tc>
        <w:tc>
          <w:tcPr>
            <w:tcW w:w="3251" w:type="pct"/>
            <w:tcBorders>
              <w:bottom w:val="single" w:sz="4" w:space="0" w:color="A6A6A6" w:themeColor="background1" w:themeShade="A6"/>
            </w:tcBorders>
          </w:tcPr>
          <w:p w14:paraId="3DE96564"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7CE02B4F" w14:textId="77777777" w:rsidTr="004B3328">
        <w:trPr>
          <w:trHeight w:val="20"/>
        </w:trPr>
        <w:tc>
          <w:tcPr>
            <w:tcW w:w="1749" w:type="pct"/>
          </w:tcPr>
          <w:p w14:paraId="5DDF019E" w14:textId="77777777" w:rsidR="001C4E2A" w:rsidRPr="004C48EB" w:rsidRDefault="001C4E2A" w:rsidP="009B471A">
            <w:pPr>
              <w:spacing w:before="20" w:after="20" w:line="240" w:lineRule="auto"/>
              <w:rPr>
                <w:rFonts w:cs="Arial"/>
                <w:sz w:val="20"/>
              </w:rPr>
            </w:pPr>
            <w:r w:rsidRPr="004C48EB">
              <w:rPr>
                <w:rFonts w:cs="Arial"/>
                <w:sz w:val="20"/>
              </w:rPr>
              <w:t>DEER Measure Case</w:t>
            </w:r>
          </w:p>
        </w:tc>
        <w:tc>
          <w:tcPr>
            <w:tcW w:w="3251" w:type="pct"/>
          </w:tcPr>
          <w:p w14:paraId="4F4DF5EC"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30299A74" w14:textId="77777777" w:rsidTr="004B3328">
        <w:trPr>
          <w:trHeight w:val="20"/>
        </w:trPr>
        <w:tc>
          <w:tcPr>
            <w:tcW w:w="1749" w:type="pct"/>
          </w:tcPr>
          <w:p w14:paraId="3EEA67F7" w14:textId="77777777" w:rsidR="001C4E2A" w:rsidRPr="004C48EB" w:rsidRDefault="001C4E2A" w:rsidP="009B471A">
            <w:pPr>
              <w:spacing w:before="20" w:after="20" w:line="240" w:lineRule="auto"/>
              <w:rPr>
                <w:rFonts w:cs="Arial"/>
                <w:sz w:val="20"/>
              </w:rPr>
            </w:pPr>
            <w:r w:rsidRPr="004C48EB">
              <w:rPr>
                <w:rFonts w:cs="Arial"/>
                <w:sz w:val="20"/>
              </w:rPr>
              <w:t>DEER Building Types</w:t>
            </w:r>
          </w:p>
        </w:tc>
        <w:tc>
          <w:tcPr>
            <w:tcW w:w="3251" w:type="pct"/>
          </w:tcPr>
          <w:p w14:paraId="41A348B8"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0156FAA3" w14:textId="77777777" w:rsidTr="004B3328">
        <w:trPr>
          <w:trHeight w:val="20"/>
        </w:trPr>
        <w:tc>
          <w:tcPr>
            <w:tcW w:w="1749" w:type="pct"/>
          </w:tcPr>
          <w:p w14:paraId="4717254A" w14:textId="77777777" w:rsidR="001C4E2A" w:rsidRPr="004C48EB" w:rsidRDefault="001C4E2A" w:rsidP="009B471A">
            <w:pPr>
              <w:spacing w:before="20" w:after="20" w:line="240" w:lineRule="auto"/>
              <w:rPr>
                <w:rFonts w:cs="Arial"/>
                <w:sz w:val="20"/>
              </w:rPr>
            </w:pPr>
            <w:r w:rsidRPr="004C48EB">
              <w:rPr>
                <w:rFonts w:cs="Arial"/>
                <w:sz w:val="20"/>
              </w:rPr>
              <w:t>DEER Operating Hours</w:t>
            </w:r>
          </w:p>
        </w:tc>
        <w:tc>
          <w:tcPr>
            <w:tcW w:w="3251" w:type="pct"/>
          </w:tcPr>
          <w:p w14:paraId="5DFE56DB"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60D994BA" w14:textId="77777777" w:rsidTr="004B3328">
        <w:trPr>
          <w:trHeight w:val="20"/>
        </w:trPr>
        <w:tc>
          <w:tcPr>
            <w:tcW w:w="1749" w:type="pct"/>
          </w:tcPr>
          <w:p w14:paraId="00D9E1FC" w14:textId="77777777" w:rsidR="001C4E2A" w:rsidRPr="004C48EB" w:rsidRDefault="001C4E2A" w:rsidP="009B471A">
            <w:pPr>
              <w:spacing w:before="20" w:after="20" w:line="240" w:lineRule="auto"/>
              <w:rPr>
                <w:rFonts w:cs="Arial"/>
                <w:sz w:val="20"/>
              </w:rPr>
            </w:pPr>
            <w:r w:rsidRPr="004C48EB">
              <w:rPr>
                <w:rFonts w:cs="Arial"/>
                <w:sz w:val="20"/>
              </w:rPr>
              <w:t xml:space="preserve">DEER </w:t>
            </w:r>
            <w:proofErr w:type="spellStart"/>
            <w:r w:rsidRPr="004C48EB">
              <w:rPr>
                <w:rFonts w:cs="Arial"/>
                <w:sz w:val="20"/>
              </w:rPr>
              <w:t>eQUEST</w:t>
            </w:r>
            <w:proofErr w:type="spellEnd"/>
            <w:r w:rsidRPr="004C48EB">
              <w:rPr>
                <w:rFonts w:cs="Arial"/>
                <w:sz w:val="20"/>
              </w:rPr>
              <w:t xml:space="preserve"> Prototypes</w:t>
            </w:r>
          </w:p>
        </w:tc>
        <w:tc>
          <w:tcPr>
            <w:tcW w:w="3251" w:type="pct"/>
          </w:tcPr>
          <w:p w14:paraId="41BF3ED0" w14:textId="77777777" w:rsidR="001C4E2A" w:rsidRPr="004C48EB" w:rsidDel="00505CEC" w:rsidRDefault="001C4E2A" w:rsidP="0063095F">
            <w:pPr>
              <w:spacing w:before="20" w:after="20" w:line="240" w:lineRule="auto"/>
              <w:rPr>
                <w:rFonts w:cs="Arial"/>
                <w:sz w:val="20"/>
              </w:rPr>
            </w:pPr>
            <w:r w:rsidRPr="004C48EB">
              <w:rPr>
                <w:rFonts w:cs="Arial"/>
                <w:sz w:val="20"/>
              </w:rPr>
              <w:t>No</w:t>
            </w:r>
          </w:p>
        </w:tc>
      </w:tr>
      <w:tr w:rsidR="004B3328" w:rsidRPr="001C4E2A" w14:paraId="3C89A65E" w14:textId="77777777" w:rsidTr="004B3328">
        <w:trPr>
          <w:trHeight w:val="20"/>
        </w:trPr>
        <w:tc>
          <w:tcPr>
            <w:tcW w:w="1749" w:type="pct"/>
          </w:tcPr>
          <w:p w14:paraId="162B8907" w14:textId="77777777" w:rsidR="001C4E2A" w:rsidRPr="004C48EB" w:rsidRDefault="001C4E2A" w:rsidP="009B471A">
            <w:pPr>
              <w:spacing w:before="20" w:after="20" w:line="240" w:lineRule="auto"/>
              <w:rPr>
                <w:rFonts w:cs="Arial"/>
                <w:sz w:val="20"/>
              </w:rPr>
            </w:pPr>
            <w:r w:rsidRPr="004C48EB">
              <w:rPr>
                <w:rFonts w:cs="Arial"/>
                <w:sz w:val="20"/>
              </w:rPr>
              <w:t>DEER Version</w:t>
            </w:r>
          </w:p>
        </w:tc>
        <w:tc>
          <w:tcPr>
            <w:tcW w:w="3251" w:type="pct"/>
          </w:tcPr>
          <w:p w14:paraId="1F3482C6" w14:textId="77777777" w:rsidR="001C4E2A" w:rsidRPr="004C48EB" w:rsidRDefault="001C4E2A" w:rsidP="0063095F">
            <w:pPr>
              <w:spacing w:before="20" w:after="20" w:line="240" w:lineRule="auto"/>
              <w:rPr>
                <w:rFonts w:cs="Arial"/>
                <w:sz w:val="20"/>
              </w:rPr>
            </w:pPr>
            <w:r w:rsidRPr="004C48EB">
              <w:rPr>
                <w:rFonts w:cstheme="minorHAnsi"/>
                <w:sz w:val="20"/>
              </w:rPr>
              <w:t>N/A</w:t>
            </w:r>
          </w:p>
        </w:tc>
      </w:tr>
      <w:tr w:rsidR="004B3328" w:rsidRPr="001C4E2A" w14:paraId="1000ADB7" w14:textId="77777777" w:rsidTr="004B3328">
        <w:trPr>
          <w:trHeight w:val="20"/>
        </w:trPr>
        <w:tc>
          <w:tcPr>
            <w:tcW w:w="1749" w:type="pct"/>
          </w:tcPr>
          <w:p w14:paraId="07C04615" w14:textId="77777777" w:rsidR="001C4E2A" w:rsidRPr="004C48EB" w:rsidRDefault="001C4E2A" w:rsidP="009B471A">
            <w:pPr>
              <w:spacing w:before="20" w:after="20" w:line="240" w:lineRule="auto"/>
              <w:rPr>
                <w:rFonts w:cs="Arial"/>
                <w:sz w:val="20"/>
              </w:rPr>
            </w:pPr>
            <w:r w:rsidRPr="004C48EB">
              <w:rPr>
                <w:rFonts w:cs="Arial"/>
                <w:sz w:val="20"/>
              </w:rPr>
              <w:t>Reason for Deviation from DEER</w:t>
            </w:r>
          </w:p>
        </w:tc>
        <w:tc>
          <w:tcPr>
            <w:tcW w:w="3251" w:type="pct"/>
          </w:tcPr>
          <w:p w14:paraId="764D569D" w14:textId="77777777" w:rsidR="001C4E2A" w:rsidRPr="004C48EB" w:rsidRDefault="001C4E2A" w:rsidP="0063095F">
            <w:pPr>
              <w:spacing w:before="20" w:after="20" w:line="240" w:lineRule="auto"/>
              <w:rPr>
                <w:rFonts w:cs="Arial"/>
                <w:sz w:val="20"/>
              </w:rPr>
            </w:pPr>
            <w:r w:rsidRPr="004C48EB">
              <w:rPr>
                <w:rFonts w:cs="Arial"/>
                <w:sz w:val="20"/>
              </w:rPr>
              <w:t xml:space="preserve">The savings analysis is based on </w:t>
            </w:r>
            <w:r w:rsidRPr="004C48EB">
              <w:rPr>
                <w:rFonts w:cstheme="minorHAnsi"/>
                <w:sz w:val="20"/>
                <w:szCs w:val="22"/>
              </w:rPr>
              <w:t xml:space="preserve">2017 Federal Code standard, which is already expressed as daily energy consumption per case TDA or volume. </w:t>
            </w:r>
          </w:p>
        </w:tc>
      </w:tr>
      <w:tr w:rsidR="004B3328" w:rsidRPr="001C4E2A" w14:paraId="103BC804" w14:textId="77777777" w:rsidTr="004B3328">
        <w:trPr>
          <w:trHeight w:val="20"/>
        </w:trPr>
        <w:tc>
          <w:tcPr>
            <w:tcW w:w="1749" w:type="pct"/>
          </w:tcPr>
          <w:p w14:paraId="0514EF85" w14:textId="77777777" w:rsidR="001C4E2A" w:rsidRPr="004C48EB" w:rsidRDefault="001C4E2A" w:rsidP="009B471A">
            <w:pPr>
              <w:spacing w:before="20" w:after="20" w:line="240" w:lineRule="auto"/>
              <w:rPr>
                <w:rFonts w:cs="Arial"/>
                <w:sz w:val="20"/>
              </w:rPr>
            </w:pPr>
            <w:r w:rsidRPr="004C48EB">
              <w:rPr>
                <w:rFonts w:cs="Arial"/>
                <w:sz w:val="20"/>
              </w:rPr>
              <w:t>DEER Measure IDs Used</w:t>
            </w:r>
          </w:p>
        </w:tc>
        <w:tc>
          <w:tcPr>
            <w:tcW w:w="3251" w:type="pct"/>
          </w:tcPr>
          <w:p w14:paraId="0F3570F9" w14:textId="77777777" w:rsidR="001C4E2A" w:rsidRPr="004C48EB" w:rsidRDefault="001C4E2A" w:rsidP="009B471A">
            <w:pPr>
              <w:spacing w:before="20" w:after="20" w:line="240" w:lineRule="auto"/>
              <w:rPr>
                <w:rFonts w:cs="Arial"/>
                <w:sz w:val="20"/>
              </w:rPr>
            </w:pPr>
            <w:r w:rsidRPr="004C48EB">
              <w:rPr>
                <w:rFonts w:cs="Arial"/>
                <w:sz w:val="20"/>
              </w:rPr>
              <w:t>N/A</w:t>
            </w:r>
          </w:p>
        </w:tc>
      </w:tr>
      <w:tr w:rsidR="004C48EB" w:rsidRPr="004B508F" w14:paraId="41CB6D9C"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7506D6" w14:textId="77777777" w:rsidR="004C48EB" w:rsidRPr="004B508F" w:rsidRDefault="004C48EB" w:rsidP="009B471A">
            <w:pPr>
              <w:spacing w:before="20" w:after="20"/>
              <w:rPr>
                <w:rFonts w:cs="Arial"/>
                <w:sz w:val="20"/>
              </w:rPr>
            </w:pPr>
            <w:r w:rsidRPr="004B508F">
              <w:rPr>
                <w:rFonts w:cs="Arial"/>
                <w:sz w:val="20"/>
              </w:rPr>
              <w:t>NTG</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94213A" w14:textId="52D37F64" w:rsidR="004C48EB" w:rsidRPr="00C3251F" w:rsidRDefault="004C48EB" w:rsidP="009B471A">
            <w:pPr>
              <w:spacing w:before="0" w:after="0" w:line="240" w:lineRule="auto"/>
              <w:rPr>
                <w:rFonts w:cs="Arial"/>
                <w:sz w:val="20"/>
              </w:rPr>
            </w:pPr>
            <w:r w:rsidRPr="00C3251F">
              <w:rPr>
                <w:rFonts w:cs="Arial"/>
                <w:sz w:val="20"/>
              </w:rPr>
              <w:t>Source: DEER.</w:t>
            </w:r>
            <w:r w:rsidR="00CB2C77">
              <w:rPr>
                <w:rFonts w:cs="Arial"/>
                <w:sz w:val="20"/>
              </w:rPr>
              <w:t xml:space="preserve"> The value of</w:t>
            </w:r>
            <w:r w:rsidRPr="00C3251F">
              <w:rPr>
                <w:rFonts w:cs="Arial"/>
                <w:sz w:val="20"/>
              </w:rPr>
              <w:t xml:space="preserve"> </w:t>
            </w:r>
            <w:r w:rsidR="00C3251F" w:rsidRPr="00C3251F">
              <w:rPr>
                <w:rFonts w:cs="Arial"/>
                <w:sz w:val="20"/>
              </w:rPr>
              <w:t>0.6</w:t>
            </w:r>
            <w:r w:rsidR="00CB2C77">
              <w:rPr>
                <w:rFonts w:cs="Arial"/>
                <w:sz w:val="20"/>
              </w:rPr>
              <w:t xml:space="preserve">0 is associated with </w:t>
            </w:r>
            <w:r w:rsidR="00C3251F" w:rsidRPr="00C3251F">
              <w:rPr>
                <w:rFonts w:cs="Arial"/>
                <w:sz w:val="20"/>
              </w:rPr>
              <w:t>NTGR ID</w:t>
            </w:r>
            <w:r w:rsidR="00CB2C77">
              <w:rPr>
                <w:rFonts w:cs="Arial"/>
                <w:sz w:val="20"/>
              </w:rPr>
              <w:t>s</w:t>
            </w:r>
            <w:r w:rsidR="00C3251F" w:rsidRPr="00C3251F">
              <w:rPr>
                <w:rFonts w:cs="Arial"/>
                <w:sz w:val="20"/>
              </w:rPr>
              <w:t xml:space="preserve">: </w:t>
            </w:r>
            <w:r w:rsidR="00C3251F" w:rsidRPr="00CB2C77">
              <w:rPr>
                <w:rFonts w:cs="Arial"/>
                <w:i/>
                <w:sz w:val="20"/>
              </w:rPr>
              <w:t>Com-Default&gt;2yrs</w:t>
            </w:r>
            <w:r w:rsidR="00CB2C77" w:rsidRPr="00CB2C77">
              <w:rPr>
                <w:rFonts w:cs="Arial"/>
                <w:i/>
                <w:sz w:val="20"/>
              </w:rPr>
              <w:t>, Ind-Default&gt;2yrs, Ag</w:t>
            </w:r>
            <w:r w:rsidR="00534BB9">
              <w:rPr>
                <w:rFonts w:cs="Arial"/>
                <w:i/>
                <w:sz w:val="20"/>
              </w:rPr>
              <w:t>ric</w:t>
            </w:r>
            <w:r w:rsidR="00CB2C77" w:rsidRPr="00CB2C77">
              <w:rPr>
                <w:rFonts w:cs="Arial"/>
                <w:i/>
                <w:sz w:val="20"/>
              </w:rPr>
              <w:t>-Default&gt;2yrs</w:t>
            </w:r>
          </w:p>
        </w:tc>
      </w:tr>
      <w:tr w:rsidR="004C48EB" w:rsidRPr="004B508F" w14:paraId="0CBDF3FC"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38D4B6" w14:textId="77777777" w:rsidR="004C48EB" w:rsidRPr="004B508F" w:rsidRDefault="004C48EB" w:rsidP="009B471A">
            <w:pPr>
              <w:spacing w:before="20" w:after="20"/>
              <w:rPr>
                <w:rFonts w:cs="Arial"/>
                <w:sz w:val="20"/>
              </w:rPr>
            </w:pPr>
            <w:r w:rsidRPr="004B508F">
              <w:rPr>
                <w:rFonts w:cs="Arial"/>
                <w:sz w:val="20"/>
              </w:rPr>
              <w:t>GSIA</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451832" w14:textId="77777777" w:rsidR="004C48EB" w:rsidRPr="0053596C" w:rsidRDefault="004C48EB" w:rsidP="009B471A">
            <w:pPr>
              <w:spacing w:before="20" w:after="20"/>
              <w:rPr>
                <w:rFonts w:cs="Arial"/>
                <w:sz w:val="20"/>
                <w:highlight w:val="yellow"/>
              </w:rPr>
            </w:pPr>
            <w:r w:rsidRPr="00C3251F">
              <w:rPr>
                <w:rFonts w:cs="Arial"/>
                <w:sz w:val="20"/>
              </w:rPr>
              <w:t xml:space="preserve">Source: DEER. The value of 1.0 is associated with GSIA ID: </w:t>
            </w:r>
            <w:r w:rsidRPr="00C3251F">
              <w:rPr>
                <w:rFonts w:cs="Arial"/>
                <w:i/>
                <w:sz w:val="20"/>
              </w:rPr>
              <w:t>Def-GSIA</w:t>
            </w:r>
          </w:p>
        </w:tc>
      </w:tr>
      <w:tr w:rsidR="004C48EB" w:rsidRPr="004B508F" w14:paraId="1A41FD80"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45B867" w14:textId="77777777" w:rsidR="004C48EB" w:rsidRPr="004B508F" w:rsidRDefault="004C48EB" w:rsidP="009B471A">
            <w:pPr>
              <w:spacing w:before="20" w:after="20"/>
              <w:rPr>
                <w:rFonts w:cs="Arial"/>
                <w:sz w:val="20"/>
              </w:rPr>
            </w:pPr>
            <w:r w:rsidRPr="004B508F">
              <w:rPr>
                <w:rFonts w:cs="Arial"/>
                <w:sz w:val="20"/>
              </w:rPr>
              <w:t>EUL/RUL</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C03E8C" w14:textId="77777777" w:rsidR="004C48EB" w:rsidRPr="00732239" w:rsidRDefault="004C48EB" w:rsidP="009B471A">
            <w:pPr>
              <w:spacing w:before="0" w:after="0" w:line="240" w:lineRule="auto"/>
              <w:rPr>
                <w:rFonts w:cs="Arial"/>
                <w:sz w:val="20"/>
              </w:rPr>
            </w:pPr>
            <w:r w:rsidRPr="00732239">
              <w:rPr>
                <w:rFonts w:cs="Arial"/>
                <w:sz w:val="20"/>
              </w:rPr>
              <w:t xml:space="preserve">Source: DEER. The EUL value of </w:t>
            </w:r>
            <w:r w:rsidR="00C3251F" w:rsidRPr="00732239">
              <w:rPr>
                <w:rFonts w:cs="Arial"/>
                <w:sz w:val="20"/>
              </w:rPr>
              <w:t>12</w:t>
            </w:r>
            <w:r w:rsidRPr="00732239">
              <w:rPr>
                <w:rFonts w:cs="Arial"/>
                <w:sz w:val="20"/>
              </w:rPr>
              <w:t xml:space="preserve"> years is associated with EUL ID: </w:t>
            </w:r>
          </w:p>
          <w:p w14:paraId="012C4439" w14:textId="77777777" w:rsidR="004C48EB" w:rsidRPr="00CB2C77" w:rsidRDefault="00732239" w:rsidP="009B471A">
            <w:pPr>
              <w:spacing w:before="0" w:after="0" w:line="240" w:lineRule="auto"/>
              <w:rPr>
                <w:rFonts w:cs="Arial"/>
                <w:i/>
                <w:sz w:val="20"/>
                <w:highlight w:val="yellow"/>
              </w:rPr>
            </w:pPr>
            <w:proofErr w:type="spellStart"/>
            <w:r w:rsidRPr="00CB2C77">
              <w:rPr>
                <w:rFonts w:cs="Arial"/>
                <w:i/>
                <w:sz w:val="20"/>
              </w:rPr>
              <w:t>GrocDisp-FixtDoors</w:t>
            </w:r>
            <w:proofErr w:type="spellEnd"/>
          </w:p>
        </w:tc>
      </w:tr>
    </w:tbl>
    <w:p w14:paraId="70A6D337" w14:textId="77777777" w:rsidR="004B3328" w:rsidRPr="004B06E3" w:rsidRDefault="004B3328" w:rsidP="00D6376F"/>
    <w:p w14:paraId="4B01E7C4" w14:textId="77777777" w:rsidR="00D6376F" w:rsidRDefault="00D6376F" w:rsidP="00A01960">
      <w:pPr>
        <w:pStyle w:val="eTRMHeading3"/>
      </w:pPr>
      <w:bookmarkStart w:id="78" w:name="_Toc486490866"/>
      <w:bookmarkStart w:id="79" w:name="_Toc486580937"/>
      <w:bookmarkStart w:id="80" w:name="_Toc490461313"/>
      <w:bookmarkStart w:id="81" w:name="_Toc56591420"/>
      <w:r w:rsidRPr="004B06E3">
        <w:lastRenderedPageBreak/>
        <w:t>Revision History</w:t>
      </w:r>
      <w:bookmarkEnd w:id="78"/>
      <w:bookmarkEnd w:id="79"/>
      <w:bookmarkEnd w:id="80"/>
      <w:bookmarkEnd w:id="81"/>
    </w:p>
    <w:p w14:paraId="23253953" w14:textId="77777777" w:rsidR="00F04767" w:rsidRDefault="00F04767" w:rsidP="00F04767">
      <w:pPr>
        <w:pStyle w:val="Caption"/>
      </w:pPr>
      <w:bookmarkStart w:id="82"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F04767" w:rsidRPr="00500C4E" w14:paraId="4922A0B1" w14:textId="77777777" w:rsidTr="00CB2C77">
        <w:trPr>
          <w:trHeight w:val="20"/>
        </w:trPr>
        <w:tc>
          <w:tcPr>
            <w:tcW w:w="503" w:type="pct"/>
            <w:shd w:val="clear" w:color="auto" w:fill="F2F2F2" w:themeFill="background1" w:themeFillShade="F2"/>
            <w:vAlign w:val="bottom"/>
          </w:tcPr>
          <w:p w14:paraId="6614E6F0" w14:textId="77777777" w:rsidR="00F04767" w:rsidRPr="00EA057C" w:rsidRDefault="00F04767" w:rsidP="006E6781">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4AEC7175" w14:textId="77777777" w:rsidR="00F04767" w:rsidRPr="00EA057C" w:rsidRDefault="00CB2C77" w:rsidP="006E6781">
            <w:pPr>
              <w:keepNext/>
              <w:keepLines/>
              <w:spacing w:before="20" w:after="20"/>
              <w:rPr>
                <w:rFonts w:cs="Arial"/>
                <w:b/>
                <w:sz w:val="20"/>
                <w:szCs w:val="20"/>
              </w:rPr>
            </w:pPr>
            <w:r>
              <w:rPr>
                <w:rFonts w:cs="Arial"/>
                <w:b/>
                <w:sz w:val="20"/>
                <w:szCs w:val="20"/>
              </w:rPr>
              <w:t xml:space="preserve">Revision Complete </w:t>
            </w:r>
            <w:r w:rsidR="00F04767">
              <w:rPr>
                <w:rFonts w:cs="Arial"/>
                <w:b/>
                <w:sz w:val="20"/>
                <w:szCs w:val="20"/>
              </w:rPr>
              <w:t>Date</w:t>
            </w:r>
          </w:p>
        </w:tc>
        <w:tc>
          <w:tcPr>
            <w:tcW w:w="963" w:type="pct"/>
            <w:shd w:val="clear" w:color="auto" w:fill="F2F2F2" w:themeFill="background1" w:themeFillShade="F2"/>
            <w:vAlign w:val="bottom"/>
          </w:tcPr>
          <w:p w14:paraId="6BC98166" w14:textId="77777777" w:rsidR="00F04767" w:rsidRDefault="00F04767" w:rsidP="006E6781">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2C761579" w14:textId="77777777" w:rsidR="00F04767" w:rsidRDefault="00F04767" w:rsidP="00CB2C77">
            <w:pPr>
              <w:keepNext/>
              <w:keepLines/>
              <w:spacing w:before="20" w:after="20"/>
              <w:rPr>
                <w:rFonts w:cs="Arial"/>
                <w:b/>
                <w:sz w:val="20"/>
                <w:szCs w:val="20"/>
              </w:rPr>
            </w:pPr>
            <w:r>
              <w:rPr>
                <w:rFonts w:cs="Arial"/>
                <w:b/>
                <w:sz w:val="20"/>
                <w:szCs w:val="20"/>
              </w:rPr>
              <w:t>Revision Summary and Rationale for Revision</w:t>
            </w:r>
          </w:p>
        </w:tc>
      </w:tr>
      <w:tr w:rsidR="005F4E56" w:rsidRPr="00CA1CB3" w14:paraId="242B6569" w14:textId="77777777" w:rsidTr="00CB2C77">
        <w:trPr>
          <w:trHeight w:val="20"/>
        </w:trPr>
        <w:tc>
          <w:tcPr>
            <w:tcW w:w="503" w:type="pct"/>
          </w:tcPr>
          <w:p w14:paraId="507B890E" w14:textId="77777777" w:rsidR="005F4E56" w:rsidRDefault="005F4E56" w:rsidP="005F4E56">
            <w:pPr>
              <w:keepNext/>
              <w:keepLines/>
              <w:spacing w:before="20" w:after="20"/>
              <w:rPr>
                <w:rFonts w:cs="Arial"/>
                <w:sz w:val="20"/>
                <w:szCs w:val="20"/>
              </w:rPr>
            </w:pPr>
            <w:r w:rsidRPr="00027965">
              <w:rPr>
                <w:rFonts w:cs="Arial"/>
                <w:sz w:val="20"/>
                <w:szCs w:val="20"/>
              </w:rPr>
              <w:t>01</w:t>
            </w:r>
          </w:p>
        </w:tc>
        <w:tc>
          <w:tcPr>
            <w:tcW w:w="986" w:type="pct"/>
          </w:tcPr>
          <w:p w14:paraId="2E45C75D" w14:textId="77777777" w:rsidR="005F4E56" w:rsidRDefault="005F4E56" w:rsidP="005F4E56">
            <w:pPr>
              <w:keepNext/>
              <w:keepLines/>
              <w:spacing w:before="20" w:after="20"/>
              <w:rPr>
                <w:rFonts w:cs="Arial"/>
                <w:sz w:val="20"/>
                <w:szCs w:val="20"/>
              </w:rPr>
            </w:pPr>
            <w:r w:rsidRPr="00027965">
              <w:rPr>
                <w:rFonts w:cs="Arial"/>
                <w:sz w:val="20"/>
                <w:szCs w:val="20"/>
              </w:rPr>
              <w:t>03/31/2018</w:t>
            </w:r>
          </w:p>
        </w:tc>
        <w:tc>
          <w:tcPr>
            <w:tcW w:w="963" w:type="pct"/>
          </w:tcPr>
          <w:p w14:paraId="45FDF621" w14:textId="77777777" w:rsidR="005F4E56" w:rsidRPr="00027965" w:rsidRDefault="005F4E56" w:rsidP="005F4E56">
            <w:pPr>
              <w:spacing w:before="20" w:after="20"/>
              <w:rPr>
                <w:rFonts w:cs="Arial"/>
                <w:sz w:val="20"/>
                <w:szCs w:val="20"/>
              </w:rPr>
            </w:pPr>
            <w:r w:rsidRPr="00027965">
              <w:rPr>
                <w:rFonts w:cs="Arial"/>
                <w:sz w:val="20"/>
                <w:szCs w:val="20"/>
              </w:rPr>
              <w:t>Jennifer Holmes</w:t>
            </w:r>
          </w:p>
          <w:p w14:paraId="3AD8246F" w14:textId="77777777" w:rsidR="005F4E56" w:rsidRDefault="005F4E56" w:rsidP="005F4E56">
            <w:pPr>
              <w:keepNext/>
              <w:keepLines/>
              <w:spacing w:before="20" w:after="20"/>
              <w:rPr>
                <w:rFonts w:cs="Arial"/>
                <w:sz w:val="20"/>
                <w:szCs w:val="20"/>
              </w:rPr>
            </w:pPr>
            <w:r w:rsidRPr="00027965">
              <w:rPr>
                <w:rFonts w:cs="Arial"/>
                <w:sz w:val="20"/>
                <w:szCs w:val="20"/>
              </w:rPr>
              <w:t>Cal TF Staff</w:t>
            </w:r>
          </w:p>
        </w:tc>
        <w:tc>
          <w:tcPr>
            <w:tcW w:w="2548" w:type="pct"/>
          </w:tcPr>
          <w:p w14:paraId="10FA8501" w14:textId="77777777" w:rsidR="005F4E56" w:rsidRPr="00027965" w:rsidRDefault="005F4E56" w:rsidP="005F4E56">
            <w:pPr>
              <w:spacing w:before="20" w:after="20"/>
              <w:rPr>
                <w:rFonts w:cs="Arial"/>
                <w:sz w:val="20"/>
                <w:szCs w:val="20"/>
              </w:rPr>
            </w:pPr>
            <w:r w:rsidRPr="00027965">
              <w:rPr>
                <w:rFonts w:cs="Arial"/>
                <w:sz w:val="20"/>
                <w:szCs w:val="20"/>
              </w:rPr>
              <w:t>Draft of consolidated text for this statewide measure is based upon:</w:t>
            </w:r>
          </w:p>
          <w:p w14:paraId="75CD2032" w14:textId="77777777" w:rsidR="005F4E56" w:rsidRDefault="005F4E56" w:rsidP="005F4E56">
            <w:pPr>
              <w:spacing w:before="20" w:after="20"/>
              <w:rPr>
                <w:rFonts w:cs="Arial"/>
                <w:sz w:val="20"/>
                <w:szCs w:val="20"/>
              </w:rPr>
            </w:pPr>
            <w:r w:rsidRPr="00027965">
              <w:rPr>
                <w:rFonts w:cs="Arial"/>
                <w:sz w:val="20"/>
                <w:szCs w:val="20"/>
              </w:rPr>
              <w:t>SCE17RN028 Revision 0 (August 11, 2016)</w:t>
            </w:r>
          </w:p>
          <w:p w14:paraId="59591E24" w14:textId="77777777" w:rsidR="005F4E56" w:rsidRDefault="005F4E56" w:rsidP="005F4E56">
            <w:pPr>
              <w:spacing w:before="20" w:after="20"/>
              <w:rPr>
                <w:rFonts w:cs="Arial"/>
                <w:sz w:val="20"/>
                <w:szCs w:val="20"/>
              </w:rPr>
            </w:pPr>
            <w:r>
              <w:rPr>
                <w:rFonts w:cs="Arial"/>
                <w:sz w:val="20"/>
                <w:szCs w:val="20"/>
              </w:rPr>
              <w:t>PGECOREF104 Revision 6 (March 30, 2016)</w:t>
            </w:r>
          </w:p>
          <w:p w14:paraId="4AE62E35" w14:textId="77777777" w:rsidR="005F4E56" w:rsidRDefault="005F4E56" w:rsidP="005F4E56">
            <w:pPr>
              <w:spacing w:before="20" w:after="20"/>
              <w:rPr>
                <w:rFonts w:cs="Arial"/>
                <w:sz w:val="20"/>
                <w:szCs w:val="20"/>
              </w:rPr>
            </w:pPr>
            <w:r>
              <w:rPr>
                <w:rFonts w:cs="Arial"/>
                <w:sz w:val="20"/>
                <w:szCs w:val="20"/>
              </w:rPr>
              <w:t>PGECOREF104 Revision 5 (May 20, 2014)</w:t>
            </w:r>
          </w:p>
          <w:p w14:paraId="7B878D01" w14:textId="77777777" w:rsidR="005F4E56" w:rsidRDefault="005F4E56" w:rsidP="005F4E56">
            <w:pPr>
              <w:spacing w:before="20" w:after="20"/>
              <w:rPr>
                <w:rFonts w:cs="Arial"/>
                <w:sz w:val="20"/>
                <w:szCs w:val="20"/>
              </w:rPr>
            </w:pPr>
            <w:r>
              <w:rPr>
                <w:rFonts w:cs="Arial"/>
                <w:sz w:val="20"/>
                <w:szCs w:val="20"/>
              </w:rPr>
              <w:t>PGECOREF104 Revision 4 (May 11, 2012)</w:t>
            </w:r>
          </w:p>
          <w:p w14:paraId="1A3952D5" w14:textId="77777777" w:rsidR="005F4E56" w:rsidRDefault="005F4E56" w:rsidP="005F4E56">
            <w:pPr>
              <w:keepNext/>
              <w:keepLines/>
              <w:spacing w:before="20" w:after="20"/>
              <w:rPr>
                <w:rFonts w:cs="Calibri Light"/>
                <w:sz w:val="20"/>
                <w:szCs w:val="20"/>
              </w:rPr>
            </w:pPr>
            <w:r w:rsidRPr="00027965">
              <w:rPr>
                <w:rFonts w:cs="Arial"/>
                <w:sz w:val="20"/>
                <w:szCs w:val="20"/>
              </w:rPr>
              <w:t>Consensus reached among Cal TF members.</w:t>
            </w:r>
          </w:p>
        </w:tc>
      </w:tr>
      <w:tr w:rsidR="00F04767" w:rsidRPr="00CA1CB3" w14:paraId="5010B5F9" w14:textId="77777777" w:rsidTr="00CB2C77">
        <w:trPr>
          <w:trHeight w:val="20"/>
        </w:trPr>
        <w:tc>
          <w:tcPr>
            <w:tcW w:w="503" w:type="pct"/>
          </w:tcPr>
          <w:p w14:paraId="2FDE312E" w14:textId="77777777" w:rsidR="00F04767" w:rsidRPr="00CA1CB3" w:rsidRDefault="00F04767" w:rsidP="006E6781">
            <w:pPr>
              <w:keepNext/>
              <w:keepLines/>
              <w:spacing w:before="20" w:after="20"/>
              <w:rPr>
                <w:rFonts w:cs="Arial"/>
                <w:sz w:val="20"/>
                <w:szCs w:val="20"/>
              </w:rPr>
            </w:pPr>
          </w:p>
        </w:tc>
        <w:tc>
          <w:tcPr>
            <w:tcW w:w="986" w:type="pct"/>
          </w:tcPr>
          <w:p w14:paraId="7A1188D9" w14:textId="1F2ADE30" w:rsidR="00F04767" w:rsidRPr="00752187" w:rsidRDefault="009E11F1" w:rsidP="006E6781">
            <w:pPr>
              <w:keepNext/>
              <w:keepLines/>
              <w:spacing w:before="20" w:after="20"/>
              <w:rPr>
                <w:rFonts w:cs="Arial"/>
                <w:sz w:val="20"/>
                <w:szCs w:val="20"/>
              </w:rPr>
            </w:pPr>
            <w:r>
              <w:rPr>
                <w:rFonts w:cs="Arial"/>
                <w:sz w:val="20"/>
                <w:szCs w:val="20"/>
              </w:rPr>
              <w:t>04/30/2019</w:t>
            </w:r>
          </w:p>
        </w:tc>
        <w:tc>
          <w:tcPr>
            <w:tcW w:w="963" w:type="pct"/>
          </w:tcPr>
          <w:p w14:paraId="0DBBF68E" w14:textId="77777777" w:rsidR="00F04767" w:rsidRPr="00752187" w:rsidRDefault="00F04767" w:rsidP="006E6781">
            <w:pPr>
              <w:keepNext/>
              <w:keepLines/>
              <w:spacing w:before="20" w:after="20"/>
              <w:rPr>
                <w:rFonts w:cs="Arial"/>
                <w:sz w:val="20"/>
                <w:szCs w:val="20"/>
              </w:rPr>
            </w:pPr>
            <w:r>
              <w:rPr>
                <w:rFonts w:cs="Arial"/>
                <w:sz w:val="20"/>
                <w:szCs w:val="20"/>
              </w:rPr>
              <w:t>Akhilesh Endurthy Solaris-Technical</w:t>
            </w:r>
          </w:p>
        </w:tc>
        <w:tc>
          <w:tcPr>
            <w:tcW w:w="2548" w:type="pct"/>
          </w:tcPr>
          <w:p w14:paraId="7EEE53AA" w14:textId="77777777" w:rsidR="00F04767" w:rsidRDefault="00D76C1B" w:rsidP="006E6781">
            <w:pPr>
              <w:keepNext/>
              <w:keepLines/>
              <w:spacing w:before="20" w:after="20"/>
              <w:rPr>
                <w:rFonts w:cs="Calibri Light"/>
                <w:sz w:val="20"/>
                <w:szCs w:val="20"/>
              </w:rPr>
            </w:pPr>
            <w:r>
              <w:rPr>
                <w:rFonts w:cs="Calibri Light"/>
                <w:sz w:val="20"/>
                <w:szCs w:val="20"/>
              </w:rPr>
              <w:t xml:space="preserve">Consolidated </w:t>
            </w:r>
            <w:r w:rsidR="00947B57">
              <w:rPr>
                <w:rFonts w:cs="Calibri Light"/>
                <w:sz w:val="20"/>
                <w:szCs w:val="20"/>
              </w:rPr>
              <w:t xml:space="preserve">SCE workpaper </w:t>
            </w:r>
            <w:r w:rsidR="00D04F62">
              <w:rPr>
                <w:rFonts w:cs="Calibri Light"/>
                <w:sz w:val="20"/>
                <w:szCs w:val="20"/>
              </w:rPr>
              <w:t>(</w:t>
            </w:r>
            <w:r w:rsidR="00D04F62" w:rsidRPr="00D04F62">
              <w:rPr>
                <w:rFonts w:cs="Calibri Light"/>
                <w:sz w:val="20"/>
                <w:szCs w:val="20"/>
              </w:rPr>
              <w:t>SCE17RN028.0</w:t>
            </w:r>
            <w:r w:rsidR="00D04F62">
              <w:rPr>
                <w:rFonts w:cs="Calibri Light"/>
                <w:sz w:val="20"/>
                <w:szCs w:val="20"/>
              </w:rPr>
              <w:t>)</w:t>
            </w:r>
            <w:r w:rsidR="00947B57">
              <w:rPr>
                <w:rFonts w:cs="Calibri Light"/>
                <w:sz w:val="20"/>
                <w:szCs w:val="20"/>
              </w:rPr>
              <w:t xml:space="preserve"> and PG&amp;E Workpaper (</w:t>
            </w:r>
            <w:r w:rsidR="00947B57" w:rsidRPr="00D04F62">
              <w:rPr>
                <w:rFonts w:cs="Calibri Light"/>
                <w:sz w:val="20"/>
                <w:szCs w:val="20"/>
              </w:rPr>
              <w:t>PGECOFST123)</w:t>
            </w:r>
          </w:p>
          <w:p w14:paraId="180C95CC" w14:textId="77777777" w:rsidR="004D3BA2" w:rsidRDefault="004D3BA2" w:rsidP="006E6781">
            <w:pPr>
              <w:keepNext/>
              <w:keepLines/>
              <w:spacing w:before="20" w:after="20"/>
              <w:rPr>
                <w:rFonts w:cs="Calibri Light"/>
                <w:sz w:val="20"/>
                <w:szCs w:val="20"/>
              </w:rPr>
            </w:pPr>
            <w:r>
              <w:rPr>
                <w:rFonts w:cs="Calibri Light"/>
                <w:sz w:val="20"/>
                <w:szCs w:val="20"/>
              </w:rPr>
              <w:t>Update calculating using latest DOE database</w:t>
            </w:r>
          </w:p>
          <w:p w14:paraId="35DB8276" w14:textId="77777777" w:rsidR="00A61D71" w:rsidRDefault="00A61D71" w:rsidP="006E6781">
            <w:pPr>
              <w:keepNext/>
              <w:keepLines/>
              <w:spacing w:before="20" w:after="20"/>
              <w:rPr>
                <w:rFonts w:cs="Calibri Light"/>
                <w:sz w:val="20"/>
                <w:szCs w:val="20"/>
              </w:rPr>
            </w:pPr>
            <w:r>
              <w:rPr>
                <w:rFonts w:cs="Calibri Light"/>
                <w:sz w:val="20"/>
                <w:szCs w:val="20"/>
              </w:rPr>
              <w:t>DEER2020 updates for Measure Application Type</w:t>
            </w:r>
          </w:p>
          <w:p w14:paraId="4128AA0E" w14:textId="77777777" w:rsidR="00A61D71" w:rsidRPr="00752187" w:rsidRDefault="00A61D71" w:rsidP="006E6781">
            <w:pPr>
              <w:keepNext/>
              <w:keepLines/>
              <w:spacing w:before="20" w:after="20"/>
              <w:rPr>
                <w:rFonts w:cs="Calibri Light"/>
                <w:sz w:val="20"/>
                <w:szCs w:val="20"/>
              </w:rPr>
            </w:pPr>
            <w:r>
              <w:rPr>
                <w:rFonts w:cs="Calibri Light"/>
                <w:sz w:val="20"/>
                <w:szCs w:val="20"/>
              </w:rPr>
              <w:t>Update the labor cost using inflation factor on WO017 costs</w:t>
            </w:r>
          </w:p>
        </w:tc>
      </w:tr>
      <w:tr w:rsidR="009B471A" w:rsidRPr="00CA1CB3" w14:paraId="26B8C58E" w14:textId="77777777" w:rsidTr="00CB2C77">
        <w:trPr>
          <w:trHeight w:val="20"/>
        </w:trPr>
        <w:tc>
          <w:tcPr>
            <w:tcW w:w="503" w:type="pct"/>
          </w:tcPr>
          <w:p w14:paraId="2C21F7F6" w14:textId="77777777" w:rsidR="009B471A" w:rsidRPr="00CA1CB3" w:rsidRDefault="009B471A" w:rsidP="009B471A">
            <w:pPr>
              <w:keepNext/>
              <w:keepLines/>
              <w:spacing w:before="20" w:after="20"/>
              <w:rPr>
                <w:rFonts w:cs="Arial"/>
                <w:sz w:val="20"/>
                <w:szCs w:val="20"/>
              </w:rPr>
            </w:pPr>
          </w:p>
        </w:tc>
        <w:tc>
          <w:tcPr>
            <w:tcW w:w="986" w:type="pct"/>
          </w:tcPr>
          <w:p w14:paraId="2E325E6D" w14:textId="77777777" w:rsidR="009B471A" w:rsidRDefault="009B471A" w:rsidP="009B471A">
            <w:pPr>
              <w:keepNext/>
              <w:keepLines/>
              <w:spacing w:before="20" w:after="20"/>
              <w:rPr>
                <w:rFonts w:cs="Arial"/>
                <w:sz w:val="20"/>
                <w:szCs w:val="20"/>
              </w:rPr>
            </w:pPr>
            <w:r>
              <w:rPr>
                <w:rFonts w:cs="Arial"/>
                <w:sz w:val="20"/>
                <w:szCs w:val="20"/>
              </w:rPr>
              <w:t>02/27/2019</w:t>
            </w:r>
          </w:p>
        </w:tc>
        <w:tc>
          <w:tcPr>
            <w:tcW w:w="963" w:type="pct"/>
          </w:tcPr>
          <w:p w14:paraId="5D5D4F11" w14:textId="77777777" w:rsidR="009B471A" w:rsidRPr="00027965" w:rsidRDefault="009B471A" w:rsidP="009B471A">
            <w:pPr>
              <w:spacing w:before="20" w:after="20"/>
              <w:rPr>
                <w:rFonts w:cs="Arial"/>
                <w:sz w:val="20"/>
                <w:szCs w:val="20"/>
              </w:rPr>
            </w:pPr>
            <w:r w:rsidRPr="00027965">
              <w:rPr>
                <w:rFonts w:cs="Arial"/>
                <w:sz w:val="20"/>
                <w:szCs w:val="20"/>
              </w:rPr>
              <w:t>Jennifer Holmes</w:t>
            </w:r>
          </w:p>
          <w:p w14:paraId="5FAF265A" w14:textId="77777777" w:rsidR="009B471A" w:rsidRDefault="009B471A" w:rsidP="009B471A">
            <w:pPr>
              <w:keepNext/>
              <w:keepLines/>
              <w:spacing w:before="20" w:after="20"/>
              <w:rPr>
                <w:rFonts w:cs="Arial"/>
                <w:sz w:val="20"/>
                <w:szCs w:val="20"/>
              </w:rPr>
            </w:pPr>
            <w:r w:rsidRPr="00027965">
              <w:rPr>
                <w:rFonts w:cs="Arial"/>
                <w:sz w:val="20"/>
                <w:szCs w:val="20"/>
              </w:rPr>
              <w:t>Cal TF Staff</w:t>
            </w:r>
          </w:p>
        </w:tc>
        <w:tc>
          <w:tcPr>
            <w:tcW w:w="2548" w:type="pct"/>
          </w:tcPr>
          <w:p w14:paraId="5D5F291A" w14:textId="77777777" w:rsidR="009B471A" w:rsidRDefault="009B471A" w:rsidP="009B471A">
            <w:pPr>
              <w:keepNext/>
              <w:keepLines/>
              <w:spacing w:before="20" w:after="20"/>
              <w:rPr>
                <w:rFonts w:cs="Calibri Light"/>
                <w:sz w:val="20"/>
                <w:szCs w:val="20"/>
              </w:rPr>
            </w:pPr>
            <w:r>
              <w:rPr>
                <w:rFonts w:cs="Calibri Light"/>
                <w:sz w:val="20"/>
                <w:szCs w:val="20"/>
              </w:rPr>
              <w:t>Revisions for submittal of version 01.</w:t>
            </w:r>
          </w:p>
        </w:tc>
      </w:tr>
      <w:tr w:rsidR="00080A3B" w:rsidRPr="00CA1CB3" w14:paraId="7E33BEB3" w14:textId="77777777" w:rsidTr="00CB2C77">
        <w:trPr>
          <w:trHeight w:val="20"/>
        </w:trPr>
        <w:tc>
          <w:tcPr>
            <w:tcW w:w="503" w:type="pct"/>
          </w:tcPr>
          <w:p w14:paraId="19533E60" w14:textId="77777777" w:rsidR="00080A3B" w:rsidRPr="00CA1CB3" w:rsidRDefault="00080A3B" w:rsidP="009B471A">
            <w:pPr>
              <w:keepNext/>
              <w:keepLines/>
              <w:spacing w:before="20" w:after="20"/>
              <w:rPr>
                <w:rFonts w:cs="Arial"/>
                <w:sz w:val="20"/>
                <w:szCs w:val="20"/>
              </w:rPr>
            </w:pPr>
          </w:p>
        </w:tc>
        <w:tc>
          <w:tcPr>
            <w:tcW w:w="986" w:type="pct"/>
          </w:tcPr>
          <w:p w14:paraId="298CB5FA" w14:textId="30D116CC" w:rsidR="00080A3B" w:rsidRDefault="00080A3B" w:rsidP="009B471A">
            <w:pPr>
              <w:keepNext/>
              <w:keepLines/>
              <w:spacing w:before="20" w:after="20"/>
              <w:rPr>
                <w:rFonts w:cs="Arial"/>
                <w:sz w:val="20"/>
                <w:szCs w:val="20"/>
              </w:rPr>
            </w:pPr>
            <w:r>
              <w:rPr>
                <w:rFonts w:cs="Arial"/>
                <w:sz w:val="20"/>
                <w:szCs w:val="20"/>
              </w:rPr>
              <w:t>11/1</w:t>
            </w:r>
            <w:r w:rsidR="005C367F">
              <w:rPr>
                <w:rFonts w:cs="Arial"/>
                <w:sz w:val="20"/>
                <w:szCs w:val="20"/>
              </w:rPr>
              <w:t>8</w:t>
            </w:r>
            <w:r>
              <w:rPr>
                <w:rFonts w:cs="Arial"/>
                <w:sz w:val="20"/>
                <w:szCs w:val="20"/>
              </w:rPr>
              <w:t>/2020</w:t>
            </w:r>
          </w:p>
        </w:tc>
        <w:tc>
          <w:tcPr>
            <w:tcW w:w="963" w:type="pct"/>
          </w:tcPr>
          <w:p w14:paraId="0544CCCC" w14:textId="77777777" w:rsidR="00080A3B" w:rsidRDefault="00080A3B" w:rsidP="009B471A">
            <w:pPr>
              <w:spacing w:before="20" w:after="20"/>
              <w:rPr>
                <w:rFonts w:cs="Arial"/>
                <w:sz w:val="20"/>
                <w:szCs w:val="20"/>
              </w:rPr>
            </w:pPr>
            <w:r>
              <w:rPr>
                <w:rFonts w:cs="Arial"/>
                <w:sz w:val="20"/>
                <w:szCs w:val="20"/>
              </w:rPr>
              <w:t>Rich Williams</w:t>
            </w:r>
          </w:p>
          <w:p w14:paraId="162E0E24" w14:textId="6BB7E4F6" w:rsidR="00080A3B" w:rsidRPr="00027965" w:rsidRDefault="00080A3B" w:rsidP="009B471A">
            <w:pPr>
              <w:spacing w:before="20" w:after="20"/>
              <w:rPr>
                <w:rFonts w:cs="Arial"/>
                <w:sz w:val="20"/>
                <w:szCs w:val="20"/>
              </w:rPr>
            </w:pPr>
            <w:r>
              <w:rPr>
                <w:rFonts w:cs="Arial"/>
                <w:sz w:val="20"/>
                <w:szCs w:val="20"/>
              </w:rPr>
              <w:t>TRC</w:t>
            </w:r>
          </w:p>
        </w:tc>
        <w:tc>
          <w:tcPr>
            <w:tcW w:w="2548" w:type="pct"/>
          </w:tcPr>
          <w:p w14:paraId="391AAF50" w14:textId="77777777" w:rsidR="00080A3B" w:rsidRDefault="00A67524" w:rsidP="009B471A">
            <w:pPr>
              <w:keepNext/>
              <w:keepLines/>
              <w:spacing w:before="20" w:after="20"/>
              <w:rPr>
                <w:rFonts w:cs="Calibri Light"/>
                <w:sz w:val="20"/>
                <w:szCs w:val="20"/>
              </w:rPr>
            </w:pPr>
            <w:r>
              <w:rPr>
                <w:rFonts w:cs="Calibri Light"/>
                <w:sz w:val="20"/>
                <w:szCs w:val="20"/>
              </w:rPr>
              <w:t>Updated calculation using latest DOE database</w:t>
            </w:r>
          </w:p>
          <w:p w14:paraId="19C12A89" w14:textId="77777777" w:rsidR="00A67524" w:rsidRDefault="00A67524" w:rsidP="009B471A">
            <w:pPr>
              <w:keepNext/>
              <w:keepLines/>
              <w:spacing w:before="20" w:after="20"/>
              <w:rPr>
                <w:rFonts w:cs="Calibri Light"/>
                <w:sz w:val="20"/>
                <w:szCs w:val="20"/>
              </w:rPr>
            </w:pPr>
            <w:r>
              <w:rPr>
                <w:rFonts w:cs="Calibri Light"/>
                <w:sz w:val="20"/>
                <w:szCs w:val="20"/>
              </w:rPr>
              <w:t>Updated labor cost using RS Means 2020</w:t>
            </w:r>
            <w:r w:rsidR="005C367F">
              <w:rPr>
                <w:rFonts w:cs="Calibri Light"/>
                <w:sz w:val="20"/>
                <w:szCs w:val="20"/>
              </w:rPr>
              <w:t>.</w:t>
            </w:r>
          </w:p>
          <w:p w14:paraId="7021331F" w14:textId="77777777" w:rsidR="005C367F" w:rsidRDefault="005C367F" w:rsidP="009B471A">
            <w:pPr>
              <w:keepNext/>
              <w:keepLines/>
              <w:spacing w:before="20" w:after="20"/>
              <w:rPr>
                <w:rFonts w:cs="Calibri Light"/>
                <w:sz w:val="20"/>
                <w:szCs w:val="20"/>
              </w:rPr>
            </w:pPr>
            <w:r w:rsidRPr="005C367F">
              <w:rPr>
                <w:rFonts w:cs="Calibri Light"/>
                <w:sz w:val="20"/>
                <w:szCs w:val="20"/>
              </w:rPr>
              <w:t xml:space="preserve">Removed </w:t>
            </w:r>
            <w:r w:rsidR="00ED52ED">
              <w:rPr>
                <w:rFonts w:cs="Calibri Light"/>
                <w:sz w:val="20"/>
                <w:szCs w:val="20"/>
              </w:rPr>
              <w:t xml:space="preserve">measure </w:t>
            </w:r>
            <w:r w:rsidRPr="005C367F">
              <w:rPr>
                <w:rFonts w:cs="Calibri Light"/>
                <w:sz w:val="20"/>
                <w:szCs w:val="20"/>
              </w:rPr>
              <w:t>SWCR014P and added</w:t>
            </w:r>
            <w:r w:rsidR="00ED52ED">
              <w:rPr>
                <w:rFonts w:cs="Calibri Light"/>
                <w:sz w:val="20"/>
                <w:szCs w:val="20"/>
              </w:rPr>
              <w:t xml:space="preserve"> measures</w:t>
            </w:r>
            <w:r w:rsidRPr="005C367F">
              <w:rPr>
                <w:rFonts w:cs="Calibri Light"/>
                <w:sz w:val="20"/>
                <w:szCs w:val="20"/>
              </w:rPr>
              <w:t xml:space="preserve"> SWCR014AE, SWCR014AF, SWCR014AG, SWCR014AH, SWCR014AI, SWCR014AJ</w:t>
            </w:r>
            <w:r>
              <w:rPr>
                <w:rFonts w:cs="Calibri Light"/>
                <w:sz w:val="20"/>
                <w:szCs w:val="20"/>
              </w:rPr>
              <w:t>.</w:t>
            </w:r>
          </w:p>
          <w:p w14:paraId="7FE13824" w14:textId="1E743FBE" w:rsidR="00C633D7" w:rsidRDefault="00C633D7" w:rsidP="009B471A">
            <w:pPr>
              <w:keepNext/>
              <w:keepLines/>
              <w:spacing w:before="20" w:after="20"/>
              <w:rPr>
                <w:rFonts w:cs="Calibri Light"/>
                <w:sz w:val="20"/>
                <w:szCs w:val="20"/>
              </w:rPr>
            </w:pPr>
            <w:r>
              <w:rPr>
                <w:rFonts w:cs="Calibri Light"/>
                <w:sz w:val="20"/>
                <w:szCs w:val="20"/>
              </w:rPr>
              <w:t>Clarified measure selection methodology</w:t>
            </w:r>
          </w:p>
        </w:tc>
      </w:tr>
      <w:bookmarkEnd w:id="82"/>
    </w:tbl>
    <w:p w14:paraId="197F9CC6" w14:textId="77777777" w:rsidR="005C43E2" w:rsidRPr="00E01894" w:rsidRDefault="005C43E2" w:rsidP="00F04767">
      <w:pPr>
        <w:spacing w:before="20" w:after="20" w:line="280" w:lineRule="exact"/>
        <w:rPr>
          <w:i/>
          <w:color w:val="808080" w:themeColor="background1" w:themeShade="80"/>
        </w:rPr>
      </w:pPr>
    </w:p>
    <w:sectPr w:rsidR="005C43E2" w:rsidRPr="00E01894" w:rsidSect="005F505E">
      <w:headerReference w:type="default" r:id="rId30"/>
      <w:headerReference w:type="first" r:id="rId3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538035" w14:textId="77777777" w:rsidR="00EA7343" w:rsidRDefault="00EA7343" w:rsidP="00A2690C">
      <w:r>
        <w:separator/>
      </w:r>
    </w:p>
    <w:p w14:paraId="466A470C" w14:textId="77777777" w:rsidR="00EA7343" w:rsidRDefault="00EA7343"/>
  </w:endnote>
  <w:endnote w:type="continuationSeparator" w:id="0">
    <w:p w14:paraId="54C7E49F" w14:textId="77777777" w:rsidR="00EA7343" w:rsidRDefault="00EA7343" w:rsidP="00A2690C">
      <w:r>
        <w:continuationSeparator/>
      </w:r>
    </w:p>
    <w:p w14:paraId="139A8833" w14:textId="77777777" w:rsidR="00EA7343" w:rsidRDefault="00EA7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5A8B1" w14:textId="77777777" w:rsidR="00866729" w:rsidRDefault="0086672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8226976" wp14:editId="1B34AE88">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1B55A82" w14:textId="77777777" w:rsidR="00866729" w:rsidRPr="00B837C1" w:rsidRDefault="0086672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29D0A" w14:textId="77777777" w:rsidR="00866729" w:rsidRDefault="0086672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7216" behindDoc="0" locked="0" layoutInCell="1" allowOverlap="1" wp14:anchorId="4F186901" wp14:editId="76811DC8">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57F5F7A" w14:textId="77777777" w:rsidR="00866729" w:rsidRPr="00B837C1" w:rsidRDefault="0086672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E86C5" w14:textId="77777777" w:rsidR="00866729" w:rsidRDefault="0086672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5F1F7169" wp14:editId="544EBA83">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EE4EFE3" w14:textId="77777777" w:rsidR="00866729" w:rsidRPr="005F505E" w:rsidRDefault="0086672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FEABE" w14:textId="77777777" w:rsidR="00EA7343" w:rsidRDefault="00EA7343" w:rsidP="00A2690C">
      <w:r>
        <w:separator/>
      </w:r>
    </w:p>
    <w:p w14:paraId="112D4B93" w14:textId="77777777" w:rsidR="00EA7343" w:rsidRDefault="00EA7343"/>
  </w:footnote>
  <w:footnote w:type="continuationSeparator" w:id="0">
    <w:p w14:paraId="01DB0CF5" w14:textId="77777777" w:rsidR="00EA7343" w:rsidRDefault="00EA7343" w:rsidP="00A2690C">
      <w:r>
        <w:continuationSeparator/>
      </w:r>
    </w:p>
    <w:p w14:paraId="4B8CB2C6" w14:textId="77777777" w:rsidR="00EA7343" w:rsidRDefault="00EA7343"/>
  </w:footnote>
  <w:footnote w:id="1">
    <w:p w14:paraId="481CB2FB" w14:textId="77777777" w:rsidR="00866729" w:rsidRDefault="00866729">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 xml:space="preserve">Washington DC: US Department of Energy. </w:t>
      </w:r>
      <w:r w:rsidRPr="003D03FA">
        <w:t>Table 3.2.</w:t>
      </w:r>
      <w:r>
        <w:t>5.</w:t>
      </w:r>
      <w:r w:rsidRPr="003D03FA">
        <w:t xml:space="preserve"> </w:t>
      </w:r>
    </w:p>
  </w:footnote>
  <w:footnote w:id="2">
    <w:p w14:paraId="100B1543" w14:textId="77777777" w:rsidR="00866729" w:rsidRDefault="00866729" w:rsidP="00E03FAD">
      <w:pPr>
        <w:pStyle w:val="FootnoteText"/>
      </w:pPr>
      <w:r>
        <w:rPr>
          <w:rStyle w:val="FootnoteReference"/>
        </w:rPr>
        <w:footnoteRef/>
      </w:r>
      <w:r>
        <w:t xml:space="preserve"> Navigant Consulting, Inc.</w:t>
      </w:r>
      <w:r w:rsidRPr="00EB58FE">
        <w:t xml:space="preserve"> 2009. </w:t>
      </w:r>
      <w:r w:rsidRPr="001D0FFA">
        <w:rPr>
          <w:i/>
        </w:rPr>
        <w:t>Energy Savings Potential and R&amp;D Opportunities for Commercial Refrigeration</w:t>
      </w:r>
      <w:r>
        <w:t xml:space="preserve">. </w:t>
      </w:r>
      <w:r w:rsidRPr="00EB58FE">
        <w:t>Report prepare</w:t>
      </w:r>
      <w:r>
        <w:t>d for U.S. Department of Energy.</w:t>
      </w:r>
    </w:p>
  </w:footnote>
  <w:footnote w:id="3">
    <w:p w14:paraId="143B6929" w14:textId="77777777" w:rsidR="00866729" w:rsidRDefault="00866729">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Washington DC: US Department of Energy. Section 5.7.</w:t>
      </w:r>
    </w:p>
  </w:footnote>
  <w:footnote w:id="4">
    <w:p w14:paraId="463DF7C0" w14:textId="77777777" w:rsidR="00866729" w:rsidRDefault="00866729">
      <w:pPr>
        <w:pStyle w:val="FootnoteText"/>
      </w:pPr>
      <w:r>
        <w:rPr>
          <w:rStyle w:val="FootnoteReference"/>
        </w:rPr>
        <w:footnoteRef/>
      </w:r>
      <w:r>
        <w:t xml:space="preserve"> </w:t>
      </w:r>
      <w:r w:rsidRPr="0025222B">
        <w:t>Code of Federal Regulations at 10 CFR Part 431 Subpart C</w:t>
      </w:r>
      <w:r>
        <w:t>.</w:t>
      </w:r>
    </w:p>
  </w:footnote>
  <w:footnote w:id="5">
    <w:p w14:paraId="525660E2" w14:textId="77777777" w:rsidR="00866729" w:rsidRDefault="00866729">
      <w:pPr>
        <w:pStyle w:val="FootnoteText"/>
      </w:pPr>
      <w:r>
        <w:rPr>
          <w:rStyle w:val="FootnoteReference"/>
        </w:rPr>
        <w:footnoteRef/>
      </w:r>
      <w:r>
        <w:t xml:space="preserve"> </w:t>
      </w:r>
      <w:r w:rsidRPr="0025222B">
        <w:t>Code of Federal Regulations at 10 CFR Part 431 Subpart C</w:t>
      </w:r>
      <w:r>
        <w:t>.</w:t>
      </w:r>
    </w:p>
  </w:footnote>
  <w:footnote w:id="6">
    <w:p w14:paraId="54AA3F5F" w14:textId="3D4E12E9" w:rsidR="00866729" w:rsidRDefault="00866729">
      <w:pPr>
        <w:pStyle w:val="FootnoteText"/>
      </w:pPr>
      <w:r>
        <w:rPr>
          <w:rStyle w:val="FootnoteReference"/>
        </w:rPr>
        <w:footnoteRef/>
      </w:r>
      <w:r>
        <w:t xml:space="preserve"> Total display area (ft</w:t>
      </w:r>
      <w:r w:rsidRPr="00CC3E25">
        <w:rPr>
          <w:vertAlign w:val="superscript"/>
        </w:rPr>
        <w:t>2</w:t>
      </w:r>
      <w:r>
        <w:t>) of the display case (ft</w:t>
      </w:r>
      <w:r w:rsidRPr="00CC3E25">
        <w:rPr>
          <w:vertAlign w:val="superscript"/>
        </w:rPr>
        <w:t>2</w:t>
      </w:r>
      <w:r>
        <w:t>)</w:t>
      </w:r>
    </w:p>
  </w:footnote>
  <w:footnote w:id="7">
    <w:p w14:paraId="46528C28" w14:textId="7A447E23" w:rsidR="00866729" w:rsidRDefault="00866729">
      <w:pPr>
        <w:pStyle w:val="FootnoteText"/>
      </w:pPr>
      <w:r>
        <w:rPr>
          <w:rStyle w:val="FootnoteReference"/>
        </w:rPr>
        <w:footnoteRef/>
      </w:r>
      <w:r>
        <w:t xml:space="preserve"> Chilled or frozen compartment volume (ft</w:t>
      </w:r>
      <w:r w:rsidRPr="00CC3E25">
        <w:rPr>
          <w:vertAlign w:val="superscript"/>
        </w:rPr>
        <w:t>3</w:t>
      </w:r>
      <w:r>
        <w:t>)</w:t>
      </w:r>
    </w:p>
  </w:footnote>
  <w:footnote w:id="8">
    <w:p w14:paraId="7546E73F" w14:textId="77777777" w:rsidR="00866729" w:rsidRDefault="00866729">
      <w:pPr>
        <w:pStyle w:val="FootnoteText"/>
      </w:pPr>
      <w:r>
        <w:rPr>
          <w:rStyle w:val="FootnoteReference"/>
        </w:rPr>
        <w:footnoteRef/>
      </w:r>
      <w:r>
        <w:t xml:space="preserve"> </w:t>
      </w:r>
      <w:hyperlink r:id="rId1" w:history="1">
        <w:r w:rsidRPr="00EF05FE">
          <w:rPr>
            <w:rStyle w:val="Hyperlink"/>
            <w:rFonts w:cstheme="minorHAnsi"/>
          </w:rPr>
          <w:t>https://www.regulations.doe.gov/certification-data</w:t>
        </w:r>
      </w:hyperlink>
    </w:p>
  </w:footnote>
  <w:footnote w:id="9">
    <w:p w14:paraId="3C224995" w14:textId="77777777" w:rsidR="00866729" w:rsidRDefault="00866729">
      <w:pPr>
        <w:pStyle w:val="FootnoteText"/>
      </w:pPr>
      <w:r>
        <w:rPr>
          <w:rStyle w:val="FootnoteReference"/>
        </w:rPr>
        <w:footnoteRef/>
      </w:r>
      <w:r>
        <w:t xml:space="preserve"> </w:t>
      </w:r>
      <w:hyperlink r:id="rId2" w:history="1">
        <w:r w:rsidRPr="00035105">
          <w:rPr>
            <w:rStyle w:val="Hyperlink"/>
            <w:rFonts w:cstheme="minorHAnsi"/>
          </w:rPr>
          <w:t>https://www.energystar.gov/productfinder/product/certified-commercial-refrigerators-and-freezers</w:t>
        </w:r>
      </w:hyperlink>
      <w:r w:rsidRPr="00035105">
        <w:t>.</w:t>
      </w:r>
    </w:p>
  </w:footnote>
  <w:footnote w:id="10">
    <w:p w14:paraId="0A6DAFF9" w14:textId="77777777" w:rsidR="00866729" w:rsidRDefault="00866729">
      <w:pPr>
        <w:pStyle w:val="FootnoteText"/>
      </w:pPr>
      <w:r>
        <w:rPr>
          <w:rStyle w:val="FootnoteReference"/>
        </w:rPr>
        <w:footnoteRef/>
      </w:r>
      <w:r>
        <w:t xml:space="preserve"> </w:t>
      </w:r>
      <w:r w:rsidRPr="00EF05FE">
        <w:t>Southern California Edison. 2016. "Manufacturer Survey on Commercial Display Cases."</w:t>
      </w:r>
    </w:p>
  </w:footnote>
  <w:footnote w:id="11">
    <w:p w14:paraId="59570C25" w14:textId="7653C92D" w:rsidR="00866729" w:rsidRDefault="00866729">
      <w:pPr>
        <w:pStyle w:val="FootnoteText"/>
      </w:pPr>
      <w:r>
        <w:rPr>
          <w:rStyle w:val="FootnoteReference"/>
        </w:rPr>
        <w:footnoteRef/>
      </w:r>
      <w:r>
        <w:t xml:space="preserve"> </w:t>
      </w:r>
      <w:r w:rsidRPr="00A64D68">
        <w:t>Southern California Edison (SCE). 20</w:t>
      </w:r>
      <w:r>
        <w:t>20</w:t>
      </w:r>
      <w:r w:rsidRPr="00A64D68">
        <w:t>. "SWCR014-0</w:t>
      </w:r>
      <w:r>
        <w:t>2</w:t>
      </w:r>
      <w:r w:rsidRPr="00A64D68">
        <w:t xml:space="preserve"> High Efficiency Display Case - calcs.xlsx"</w:t>
      </w:r>
      <w:r>
        <w:t xml:space="preserve"> Database 1 DOE </w:t>
      </w:r>
      <w:proofErr w:type="spellStart"/>
      <w:r>
        <w:t>Refrig</w:t>
      </w:r>
      <w:proofErr w:type="spellEnd"/>
      <w:r>
        <w:t xml:space="preserve"> Single tab. </w:t>
      </w:r>
    </w:p>
  </w:footnote>
  <w:footnote w:id="12">
    <w:p w14:paraId="2D04AAF1" w14:textId="77777777" w:rsidR="00866729" w:rsidRDefault="00866729">
      <w:pPr>
        <w:pStyle w:val="FootnoteText"/>
      </w:pPr>
      <w:r>
        <w:rPr>
          <w:rStyle w:val="FootnoteReference"/>
        </w:rPr>
        <w:footnoteRef/>
      </w:r>
      <w:r>
        <w:t xml:space="preserve"> </w:t>
      </w:r>
      <w:hyperlink r:id="rId3" w:anchor="q=Product_Group_s%3A%22Refrigeration%20Equipment%20-%20Commercial%2C%20Single%20Compartment%22" w:history="1">
        <w:r w:rsidRPr="008A1939">
          <w:rPr>
            <w:rStyle w:val="Hyperlink"/>
          </w:rPr>
          <w:t>https://www.regulations.doe.gov/certification-data/CCMS-4-Refrigeration_Equipment_-_Commercial__Single_Compartment.html#q=Product_Group_s%3A%22Refrigeration%20Equipment%20-%20Commercial%2C%20Single%20Compartment%22</w:t>
        </w:r>
      </w:hyperlink>
    </w:p>
    <w:p w14:paraId="271E9DF8" w14:textId="77777777" w:rsidR="00866729" w:rsidRDefault="00866729">
      <w:pPr>
        <w:pStyle w:val="FootnoteText"/>
      </w:pPr>
    </w:p>
  </w:footnote>
  <w:footnote w:id="13">
    <w:p w14:paraId="5C9EF255" w14:textId="47409CDA" w:rsidR="00866729" w:rsidRDefault="00866729" w:rsidP="00A64D68">
      <w:pPr>
        <w:pStyle w:val="FootnoteText"/>
      </w:pPr>
      <w:r>
        <w:rPr>
          <w:rStyle w:val="FootnoteReference"/>
        </w:rPr>
        <w:footnoteRef/>
      </w:r>
      <w:r>
        <w:t xml:space="preserve"> </w:t>
      </w:r>
      <w:r w:rsidRPr="00A64D68">
        <w:t>Southern California Edison (SCE). 20</w:t>
      </w:r>
      <w:r>
        <w:t>20</w:t>
      </w:r>
      <w:r w:rsidRPr="00A64D68">
        <w:t>. "SWCR014-0</w:t>
      </w:r>
      <w:r>
        <w:t>2</w:t>
      </w:r>
      <w:r w:rsidRPr="00A64D68">
        <w:t xml:space="preserve"> High Efficiency Display Case - calcs.xlsx"</w:t>
      </w:r>
    </w:p>
  </w:footnote>
  <w:footnote w:id="14">
    <w:p w14:paraId="58C38C68" w14:textId="77777777" w:rsidR="00866729" w:rsidRDefault="00866729" w:rsidP="004F144B">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5">
    <w:p w14:paraId="60EE5057" w14:textId="77777777" w:rsidR="00866729" w:rsidRDefault="00866729" w:rsidP="004F144B">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16">
    <w:p w14:paraId="318CFC4A" w14:textId="77777777" w:rsidR="00866729" w:rsidRDefault="00866729">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Washington DC: US Department of Energy.</w:t>
      </w:r>
    </w:p>
    <w:p w14:paraId="08B75ED4" w14:textId="435B01C6" w:rsidR="00866729" w:rsidRDefault="00866729">
      <w:pPr>
        <w:pStyle w:val="FootnoteText"/>
      </w:pPr>
    </w:p>
  </w:footnote>
  <w:footnote w:id="17">
    <w:p w14:paraId="724B6700" w14:textId="1F915B94" w:rsidR="00866729" w:rsidRDefault="00866729">
      <w:pPr>
        <w:pStyle w:val="FootnoteText"/>
      </w:pPr>
      <w:r>
        <w:rPr>
          <w:rStyle w:val="FootnoteReference"/>
        </w:rPr>
        <w:footnoteRef/>
      </w:r>
      <w:r>
        <w:t xml:space="preserve"> </w:t>
      </w:r>
      <w:r w:rsidRPr="00A64D68">
        <w:t>Southern California Edison (SCE). 20</w:t>
      </w:r>
      <w:r>
        <w:t>20</w:t>
      </w:r>
      <w:r w:rsidRPr="00A64D68">
        <w:t>. "SWCR014-0</w:t>
      </w:r>
      <w:r>
        <w:t>2</w:t>
      </w:r>
      <w:r w:rsidRPr="00A64D68">
        <w:t xml:space="preserve"> High Efficiency Display Case - calcs.xlsx"</w:t>
      </w:r>
      <w:r>
        <w:t xml:space="preserve"> </w:t>
      </w:r>
    </w:p>
  </w:footnote>
  <w:footnote w:id="18">
    <w:p w14:paraId="7DBDAA7A" w14:textId="77777777" w:rsidR="00866729" w:rsidRDefault="00866729">
      <w:pPr>
        <w:pStyle w:val="FootnoteText"/>
      </w:pPr>
      <w:r>
        <w:rPr>
          <w:rStyle w:val="FootnoteReference"/>
        </w:rPr>
        <w:footnoteRef/>
      </w:r>
      <w:r>
        <w:t xml:space="preserve"> </w:t>
      </w:r>
      <w:proofErr w:type="spellStart"/>
      <w:r w:rsidRPr="005B11A4">
        <w:t>Itron</w:t>
      </w:r>
      <w:proofErr w:type="spellEnd"/>
      <w:r w:rsidRPr="005B11A4">
        <w:t xml:space="preserve">, Inc. 2014. </w:t>
      </w:r>
      <w:r w:rsidRPr="005B11A4">
        <w:rPr>
          <w:i/>
        </w:rPr>
        <w:t>2010-2012 WO017 Ex Ante Measure Cost Study Final Report.</w:t>
      </w:r>
      <w:r w:rsidRPr="005B11A4">
        <w:t xml:space="preserve"> Prepared for the California Public Utilities Commission.</w:t>
      </w:r>
    </w:p>
    <w:p w14:paraId="704204C0" w14:textId="55596A84" w:rsidR="00866729" w:rsidRDefault="00866729">
      <w:pPr>
        <w:pStyle w:val="FootnoteText"/>
      </w:pPr>
    </w:p>
  </w:footnote>
  <w:footnote w:id="19">
    <w:p w14:paraId="78DDE61F" w14:textId="7AC467E0" w:rsidR="00866729" w:rsidRDefault="00866729">
      <w:pPr>
        <w:pStyle w:val="FootnoteText"/>
      </w:pPr>
      <w:r>
        <w:rPr>
          <w:rStyle w:val="FootnoteReference"/>
        </w:rPr>
        <w:footnoteRef/>
      </w:r>
      <w:r>
        <w:t xml:space="preserve"> </w:t>
      </w:r>
      <w:proofErr w:type="spellStart"/>
      <w:r w:rsidRPr="00D07E6F">
        <w:t>RSMeans</w:t>
      </w:r>
      <w:proofErr w:type="spellEnd"/>
      <w:r w:rsidRPr="00D07E6F">
        <w:t xml:space="preserve"> Labor Rates, 2020. https://www.rsmeansonline.com/References/LABORRATE/2-Year%202020%20Labor%20Rates/Open%20Shop%20Labor%20Rates.PDF</w:t>
      </w:r>
    </w:p>
  </w:footnote>
  <w:footnote w:id="20">
    <w:p w14:paraId="2FBD3276" w14:textId="77777777" w:rsidR="00866729" w:rsidRDefault="00866729">
      <w:pPr>
        <w:pStyle w:val="FootnoteText"/>
      </w:pPr>
      <w:r>
        <w:rPr>
          <w:rStyle w:val="FootnoteReference"/>
        </w:rPr>
        <w:footnoteRef/>
      </w:r>
      <w:r>
        <w:t xml:space="preserve"> </w:t>
      </w:r>
      <w:r w:rsidRPr="00EF05FE">
        <w:t>Southern California Edison. 2016. "Manufacturer Survey on Commercial Display Cases."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BF74" w14:textId="77777777" w:rsidR="00866729" w:rsidRPr="000220A0" w:rsidRDefault="0086672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29BD6" w14:textId="0B5CC8ED" w:rsidR="00866729" w:rsidRDefault="00866729">
    <w:pPr>
      <w:pStyle w:val="Header"/>
    </w:pPr>
    <w:r>
      <w:rPr>
        <w:rFonts w:ascii="Calibri Light" w:hAnsi="Calibri Light"/>
      </w:rPr>
      <w:t xml:space="preserve">COMMERCIAL 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High Efficiency Refrigerated Display Cases</w:t>
    </w:r>
  </w:p>
  <w:p w14:paraId="428158DA" w14:textId="77777777" w:rsidR="00866729" w:rsidRDefault="008667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A740" w14:textId="77777777" w:rsidR="00866729" w:rsidRDefault="00866729" w:rsidP="00BD221D">
    <w:pPr>
      <w:jc w:val="center"/>
    </w:pPr>
  </w:p>
  <w:p w14:paraId="186727DB" w14:textId="77777777" w:rsidR="00866729" w:rsidRDefault="00866729" w:rsidP="00BD221D">
    <w:pPr>
      <w:jc w:val="center"/>
    </w:pPr>
    <w:r>
      <w:rPr>
        <w:noProof/>
      </w:rPr>
      <w:drawing>
        <wp:inline distT="0" distB="0" distL="0" distR="0" wp14:anchorId="52607A5D" wp14:editId="5A43339A">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7930D" w14:textId="77777777" w:rsidR="00866729" w:rsidRDefault="00866729" w:rsidP="001D7A57">
    <w:pPr>
      <w:pStyle w:val="Header"/>
    </w:pPr>
    <w:r>
      <w:rPr>
        <w:rFonts w:ascii="Calibri Light" w:hAnsi="Calibri Light"/>
      </w:rPr>
      <w:t xml:space="preserve">COMMERCIAL 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High Efficiency Refrigerated Display Cases</w:t>
    </w:r>
  </w:p>
  <w:p w14:paraId="0BC15522" w14:textId="77777777" w:rsidR="00866729" w:rsidRDefault="008667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0A7F3" w14:textId="77777777" w:rsidR="00866729" w:rsidRDefault="00866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A3D7E"/>
    <w:multiLevelType w:val="hybridMultilevel"/>
    <w:tmpl w:val="B51C8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E37AC3"/>
    <w:multiLevelType w:val="multilevel"/>
    <w:tmpl w:val="D4AC7E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BA95ABA"/>
    <w:multiLevelType w:val="multilevel"/>
    <w:tmpl w:val="C7045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2B64FC7"/>
    <w:multiLevelType w:val="hybridMultilevel"/>
    <w:tmpl w:val="8E3A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0D0FA6"/>
    <w:multiLevelType w:val="hybridMultilevel"/>
    <w:tmpl w:val="02306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4A6E13"/>
    <w:multiLevelType w:val="hybridMultilevel"/>
    <w:tmpl w:val="3092A6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7AE23F2"/>
    <w:multiLevelType w:val="hybridMultilevel"/>
    <w:tmpl w:val="4716A7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316E30"/>
    <w:multiLevelType w:val="hybridMultilevel"/>
    <w:tmpl w:val="3CF01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2" w15:restartNumberingAfterBreak="0">
    <w:nsid w:val="576B6EA3"/>
    <w:multiLevelType w:val="hybridMultilevel"/>
    <w:tmpl w:val="780CE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236864"/>
    <w:multiLevelType w:val="multilevel"/>
    <w:tmpl w:val="209666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5" w15:restartNumberingAfterBreak="0">
    <w:nsid w:val="64E62047"/>
    <w:multiLevelType w:val="hybridMultilevel"/>
    <w:tmpl w:val="58843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F45EDD"/>
    <w:multiLevelType w:val="hybridMultilevel"/>
    <w:tmpl w:val="2ABA7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C07B80"/>
    <w:multiLevelType w:val="hybridMultilevel"/>
    <w:tmpl w:val="82DEE348"/>
    <w:lvl w:ilvl="0" w:tplc="C41297E6">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0" w15:restartNumberingAfterBreak="0">
    <w:nsid w:val="7CD95906"/>
    <w:multiLevelType w:val="hybridMultilevel"/>
    <w:tmpl w:val="36EA381C"/>
    <w:lvl w:ilvl="0" w:tplc="E41459AA">
      <w:start w:val="2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566A7"/>
    <w:multiLevelType w:val="hybridMultilevel"/>
    <w:tmpl w:val="3CF01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9"/>
  </w:num>
  <w:num w:numId="3">
    <w:abstractNumId w:val="1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7"/>
  </w:num>
  <w:num w:numId="5">
    <w:abstractNumId w:val="5"/>
  </w:num>
  <w:num w:numId="6">
    <w:abstractNumId w:val="11"/>
  </w:num>
  <w:num w:numId="7">
    <w:abstractNumId w:val="3"/>
  </w:num>
  <w:num w:numId="8">
    <w:abstractNumId w:val="16"/>
  </w:num>
  <w:num w:numId="9">
    <w:abstractNumId w:val="0"/>
  </w:num>
  <w:num w:numId="10">
    <w:abstractNumId w:val="15"/>
  </w:num>
  <w:num w:numId="11">
    <w:abstractNumId w:val="10"/>
  </w:num>
  <w:num w:numId="12">
    <w:abstractNumId w:val="7"/>
  </w:num>
  <w:num w:numId="13">
    <w:abstractNumId w:val="9"/>
  </w:num>
  <w:num w:numId="14">
    <w:abstractNumId w:val="4"/>
  </w:num>
  <w:num w:numId="15">
    <w:abstractNumId w:val="21"/>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0"/>
  </w:num>
  <w:num w:numId="2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9B0"/>
    <w:rsid w:val="00005B06"/>
    <w:rsid w:val="000063B0"/>
    <w:rsid w:val="00007AA2"/>
    <w:rsid w:val="00007DE0"/>
    <w:rsid w:val="000110D9"/>
    <w:rsid w:val="000111AF"/>
    <w:rsid w:val="00014B19"/>
    <w:rsid w:val="00014D21"/>
    <w:rsid w:val="000154AC"/>
    <w:rsid w:val="00016928"/>
    <w:rsid w:val="000220A0"/>
    <w:rsid w:val="000231C6"/>
    <w:rsid w:val="0002389A"/>
    <w:rsid w:val="00026D58"/>
    <w:rsid w:val="000302DF"/>
    <w:rsid w:val="00031184"/>
    <w:rsid w:val="00035105"/>
    <w:rsid w:val="000352D9"/>
    <w:rsid w:val="00036102"/>
    <w:rsid w:val="00037A06"/>
    <w:rsid w:val="0004135D"/>
    <w:rsid w:val="000423AE"/>
    <w:rsid w:val="00043169"/>
    <w:rsid w:val="00046BB0"/>
    <w:rsid w:val="000472FC"/>
    <w:rsid w:val="00047F4F"/>
    <w:rsid w:val="00051DBB"/>
    <w:rsid w:val="00052C95"/>
    <w:rsid w:val="00053715"/>
    <w:rsid w:val="00056779"/>
    <w:rsid w:val="00057D9D"/>
    <w:rsid w:val="00061D34"/>
    <w:rsid w:val="000627E6"/>
    <w:rsid w:val="0006462F"/>
    <w:rsid w:val="000672E5"/>
    <w:rsid w:val="00073509"/>
    <w:rsid w:val="00074073"/>
    <w:rsid w:val="00074A1B"/>
    <w:rsid w:val="00074E3E"/>
    <w:rsid w:val="000767E9"/>
    <w:rsid w:val="00080A3B"/>
    <w:rsid w:val="0008108C"/>
    <w:rsid w:val="000841AA"/>
    <w:rsid w:val="00090BBF"/>
    <w:rsid w:val="000910B7"/>
    <w:rsid w:val="00091581"/>
    <w:rsid w:val="0009221A"/>
    <w:rsid w:val="00092667"/>
    <w:rsid w:val="00094517"/>
    <w:rsid w:val="0009523B"/>
    <w:rsid w:val="000963A4"/>
    <w:rsid w:val="00096485"/>
    <w:rsid w:val="000977AD"/>
    <w:rsid w:val="000978C8"/>
    <w:rsid w:val="000A0C4D"/>
    <w:rsid w:val="000A20FD"/>
    <w:rsid w:val="000A2AD0"/>
    <w:rsid w:val="000A45EA"/>
    <w:rsid w:val="000A4D3A"/>
    <w:rsid w:val="000A62EF"/>
    <w:rsid w:val="000A66B7"/>
    <w:rsid w:val="000A7058"/>
    <w:rsid w:val="000A73B0"/>
    <w:rsid w:val="000B5263"/>
    <w:rsid w:val="000B6004"/>
    <w:rsid w:val="000C29CA"/>
    <w:rsid w:val="000C36B4"/>
    <w:rsid w:val="000C543F"/>
    <w:rsid w:val="000C65C2"/>
    <w:rsid w:val="000C72C1"/>
    <w:rsid w:val="000D0D87"/>
    <w:rsid w:val="000D769C"/>
    <w:rsid w:val="000E3D50"/>
    <w:rsid w:val="000E5352"/>
    <w:rsid w:val="000F1833"/>
    <w:rsid w:val="000F2474"/>
    <w:rsid w:val="000F2DAB"/>
    <w:rsid w:val="000F5D12"/>
    <w:rsid w:val="000F7A17"/>
    <w:rsid w:val="00100C3E"/>
    <w:rsid w:val="0010253B"/>
    <w:rsid w:val="00103399"/>
    <w:rsid w:val="00104933"/>
    <w:rsid w:val="00111A53"/>
    <w:rsid w:val="0011498C"/>
    <w:rsid w:val="00120592"/>
    <w:rsid w:val="001217DF"/>
    <w:rsid w:val="0012187D"/>
    <w:rsid w:val="001222B3"/>
    <w:rsid w:val="00124BFE"/>
    <w:rsid w:val="00125BEB"/>
    <w:rsid w:val="001267BB"/>
    <w:rsid w:val="00126809"/>
    <w:rsid w:val="00131C5A"/>
    <w:rsid w:val="00132E52"/>
    <w:rsid w:val="001345F9"/>
    <w:rsid w:val="001347A2"/>
    <w:rsid w:val="00136444"/>
    <w:rsid w:val="001369B9"/>
    <w:rsid w:val="00136EA6"/>
    <w:rsid w:val="00140013"/>
    <w:rsid w:val="00142AF9"/>
    <w:rsid w:val="00142D3C"/>
    <w:rsid w:val="00142DDB"/>
    <w:rsid w:val="001451AB"/>
    <w:rsid w:val="001458F0"/>
    <w:rsid w:val="001462BF"/>
    <w:rsid w:val="00151B9F"/>
    <w:rsid w:val="00154391"/>
    <w:rsid w:val="00155262"/>
    <w:rsid w:val="001564FC"/>
    <w:rsid w:val="001612C9"/>
    <w:rsid w:val="00161DF1"/>
    <w:rsid w:val="00163021"/>
    <w:rsid w:val="001648F6"/>
    <w:rsid w:val="0016604A"/>
    <w:rsid w:val="00171BB8"/>
    <w:rsid w:val="0017286B"/>
    <w:rsid w:val="00173E2B"/>
    <w:rsid w:val="00174707"/>
    <w:rsid w:val="00177965"/>
    <w:rsid w:val="0017796E"/>
    <w:rsid w:val="00180DAD"/>
    <w:rsid w:val="00181672"/>
    <w:rsid w:val="00181E01"/>
    <w:rsid w:val="00182DB1"/>
    <w:rsid w:val="001901DD"/>
    <w:rsid w:val="00192BC1"/>
    <w:rsid w:val="00192F29"/>
    <w:rsid w:val="00193862"/>
    <w:rsid w:val="001944A0"/>
    <w:rsid w:val="00195202"/>
    <w:rsid w:val="00195B03"/>
    <w:rsid w:val="00196649"/>
    <w:rsid w:val="00197D42"/>
    <w:rsid w:val="001A1748"/>
    <w:rsid w:val="001A2287"/>
    <w:rsid w:val="001A4BE1"/>
    <w:rsid w:val="001A7A21"/>
    <w:rsid w:val="001A7C52"/>
    <w:rsid w:val="001B1D23"/>
    <w:rsid w:val="001B4E6A"/>
    <w:rsid w:val="001B58D1"/>
    <w:rsid w:val="001B6B96"/>
    <w:rsid w:val="001C2ACE"/>
    <w:rsid w:val="001C4E2A"/>
    <w:rsid w:val="001C5741"/>
    <w:rsid w:val="001C6C9B"/>
    <w:rsid w:val="001C6D01"/>
    <w:rsid w:val="001C7134"/>
    <w:rsid w:val="001D0FFA"/>
    <w:rsid w:val="001D1EFC"/>
    <w:rsid w:val="001D2AE3"/>
    <w:rsid w:val="001D65A6"/>
    <w:rsid w:val="001D794F"/>
    <w:rsid w:val="001D7A57"/>
    <w:rsid w:val="001E05BD"/>
    <w:rsid w:val="001E19A3"/>
    <w:rsid w:val="001E35C7"/>
    <w:rsid w:val="001E3AAC"/>
    <w:rsid w:val="001E3FA4"/>
    <w:rsid w:val="001E41AE"/>
    <w:rsid w:val="001E43BF"/>
    <w:rsid w:val="001E4C3F"/>
    <w:rsid w:val="001E63DD"/>
    <w:rsid w:val="001F39AC"/>
    <w:rsid w:val="001F4278"/>
    <w:rsid w:val="001F4A6D"/>
    <w:rsid w:val="001F735E"/>
    <w:rsid w:val="002005A8"/>
    <w:rsid w:val="002006B6"/>
    <w:rsid w:val="002037FC"/>
    <w:rsid w:val="0020457E"/>
    <w:rsid w:val="00204D6F"/>
    <w:rsid w:val="00205BAF"/>
    <w:rsid w:val="002075DD"/>
    <w:rsid w:val="00207EAA"/>
    <w:rsid w:val="00207F85"/>
    <w:rsid w:val="00207FAE"/>
    <w:rsid w:val="0021226A"/>
    <w:rsid w:val="00217738"/>
    <w:rsid w:val="00220463"/>
    <w:rsid w:val="00221ADC"/>
    <w:rsid w:val="00222274"/>
    <w:rsid w:val="00222AA6"/>
    <w:rsid w:val="00224AE7"/>
    <w:rsid w:val="00225142"/>
    <w:rsid w:val="00226256"/>
    <w:rsid w:val="00227BDD"/>
    <w:rsid w:val="002318A4"/>
    <w:rsid w:val="00232F17"/>
    <w:rsid w:val="002335FF"/>
    <w:rsid w:val="00233D87"/>
    <w:rsid w:val="00233F52"/>
    <w:rsid w:val="0023666C"/>
    <w:rsid w:val="00236E0A"/>
    <w:rsid w:val="00237964"/>
    <w:rsid w:val="0024146B"/>
    <w:rsid w:val="002434DE"/>
    <w:rsid w:val="00243F7C"/>
    <w:rsid w:val="00245AFF"/>
    <w:rsid w:val="0024628D"/>
    <w:rsid w:val="0024690E"/>
    <w:rsid w:val="00246A32"/>
    <w:rsid w:val="00250223"/>
    <w:rsid w:val="00251ABC"/>
    <w:rsid w:val="00251CCA"/>
    <w:rsid w:val="0025222B"/>
    <w:rsid w:val="002524CF"/>
    <w:rsid w:val="00252E2B"/>
    <w:rsid w:val="002533E6"/>
    <w:rsid w:val="00254397"/>
    <w:rsid w:val="002560D2"/>
    <w:rsid w:val="00256400"/>
    <w:rsid w:val="0026043F"/>
    <w:rsid w:val="00262489"/>
    <w:rsid w:val="002646EB"/>
    <w:rsid w:val="002714D8"/>
    <w:rsid w:val="00271C7E"/>
    <w:rsid w:val="00272AEC"/>
    <w:rsid w:val="0027390E"/>
    <w:rsid w:val="00274C8C"/>
    <w:rsid w:val="002768B0"/>
    <w:rsid w:val="00276F9B"/>
    <w:rsid w:val="00277BA0"/>
    <w:rsid w:val="002870D0"/>
    <w:rsid w:val="00290199"/>
    <w:rsid w:val="002942B0"/>
    <w:rsid w:val="002947E1"/>
    <w:rsid w:val="00294F2A"/>
    <w:rsid w:val="0029555D"/>
    <w:rsid w:val="00297342"/>
    <w:rsid w:val="0029781E"/>
    <w:rsid w:val="002A0CB1"/>
    <w:rsid w:val="002A2471"/>
    <w:rsid w:val="002A2A94"/>
    <w:rsid w:val="002A6BDD"/>
    <w:rsid w:val="002A6FE9"/>
    <w:rsid w:val="002A793B"/>
    <w:rsid w:val="002B0669"/>
    <w:rsid w:val="002B107C"/>
    <w:rsid w:val="002B2C97"/>
    <w:rsid w:val="002B3BF4"/>
    <w:rsid w:val="002B5D51"/>
    <w:rsid w:val="002B6DED"/>
    <w:rsid w:val="002B6F2A"/>
    <w:rsid w:val="002C06FC"/>
    <w:rsid w:val="002C1117"/>
    <w:rsid w:val="002C1839"/>
    <w:rsid w:val="002C206B"/>
    <w:rsid w:val="002C2F85"/>
    <w:rsid w:val="002C4BFF"/>
    <w:rsid w:val="002C67DF"/>
    <w:rsid w:val="002D0036"/>
    <w:rsid w:val="002D1F8A"/>
    <w:rsid w:val="002D29F8"/>
    <w:rsid w:val="002D40EE"/>
    <w:rsid w:val="002D4579"/>
    <w:rsid w:val="002D4993"/>
    <w:rsid w:val="002D50E9"/>
    <w:rsid w:val="002D5CFA"/>
    <w:rsid w:val="002D5FD9"/>
    <w:rsid w:val="002D7DD2"/>
    <w:rsid w:val="002E338E"/>
    <w:rsid w:val="002E49B5"/>
    <w:rsid w:val="002E7DC0"/>
    <w:rsid w:val="002F39D6"/>
    <w:rsid w:val="002F42B0"/>
    <w:rsid w:val="002F5395"/>
    <w:rsid w:val="002F5A77"/>
    <w:rsid w:val="003012FF"/>
    <w:rsid w:val="00301CC1"/>
    <w:rsid w:val="00302A82"/>
    <w:rsid w:val="00303AAF"/>
    <w:rsid w:val="00303D5E"/>
    <w:rsid w:val="00304425"/>
    <w:rsid w:val="00304F6F"/>
    <w:rsid w:val="003103FB"/>
    <w:rsid w:val="0031211B"/>
    <w:rsid w:val="00313E1D"/>
    <w:rsid w:val="00315C6C"/>
    <w:rsid w:val="0031610A"/>
    <w:rsid w:val="003201D4"/>
    <w:rsid w:val="00320423"/>
    <w:rsid w:val="003247FA"/>
    <w:rsid w:val="00330782"/>
    <w:rsid w:val="003309DA"/>
    <w:rsid w:val="00331463"/>
    <w:rsid w:val="00332D37"/>
    <w:rsid w:val="00333400"/>
    <w:rsid w:val="00333809"/>
    <w:rsid w:val="00333BC9"/>
    <w:rsid w:val="00336313"/>
    <w:rsid w:val="00337D1D"/>
    <w:rsid w:val="003418FE"/>
    <w:rsid w:val="0034250F"/>
    <w:rsid w:val="003426A4"/>
    <w:rsid w:val="00342A25"/>
    <w:rsid w:val="00342BD1"/>
    <w:rsid w:val="00343E56"/>
    <w:rsid w:val="00344CBF"/>
    <w:rsid w:val="0034641D"/>
    <w:rsid w:val="0035060F"/>
    <w:rsid w:val="003519B2"/>
    <w:rsid w:val="00352864"/>
    <w:rsid w:val="00353B21"/>
    <w:rsid w:val="0036151B"/>
    <w:rsid w:val="00362F9E"/>
    <w:rsid w:val="003634E8"/>
    <w:rsid w:val="00363BE8"/>
    <w:rsid w:val="003664FD"/>
    <w:rsid w:val="003702B4"/>
    <w:rsid w:val="00372BAA"/>
    <w:rsid w:val="00372F61"/>
    <w:rsid w:val="00374082"/>
    <w:rsid w:val="003746CF"/>
    <w:rsid w:val="00374A7F"/>
    <w:rsid w:val="00374D18"/>
    <w:rsid w:val="00376A24"/>
    <w:rsid w:val="00385069"/>
    <w:rsid w:val="003905A7"/>
    <w:rsid w:val="003905DD"/>
    <w:rsid w:val="00392097"/>
    <w:rsid w:val="00392684"/>
    <w:rsid w:val="00392DE1"/>
    <w:rsid w:val="00393425"/>
    <w:rsid w:val="003A21BD"/>
    <w:rsid w:val="003A3124"/>
    <w:rsid w:val="003A3F42"/>
    <w:rsid w:val="003A4642"/>
    <w:rsid w:val="003A4BFC"/>
    <w:rsid w:val="003A6F6F"/>
    <w:rsid w:val="003B2818"/>
    <w:rsid w:val="003B7543"/>
    <w:rsid w:val="003B7610"/>
    <w:rsid w:val="003C0D60"/>
    <w:rsid w:val="003C23EC"/>
    <w:rsid w:val="003C2CC3"/>
    <w:rsid w:val="003C5630"/>
    <w:rsid w:val="003C7721"/>
    <w:rsid w:val="003C7CC3"/>
    <w:rsid w:val="003D03FA"/>
    <w:rsid w:val="003D1FB8"/>
    <w:rsid w:val="003D2DD8"/>
    <w:rsid w:val="003D7104"/>
    <w:rsid w:val="003E3132"/>
    <w:rsid w:val="003E3697"/>
    <w:rsid w:val="003E431C"/>
    <w:rsid w:val="003E518D"/>
    <w:rsid w:val="003E5605"/>
    <w:rsid w:val="003F269E"/>
    <w:rsid w:val="003F28B4"/>
    <w:rsid w:val="003F2CE8"/>
    <w:rsid w:val="003F402E"/>
    <w:rsid w:val="003F48B6"/>
    <w:rsid w:val="003F4964"/>
    <w:rsid w:val="003F65F3"/>
    <w:rsid w:val="00401C43"/>
    <w:rsid w:val="004046FF"/>
    <w:rsid w:val="00404CDB"/>
    <w:rsid w:val="0040629B"/>
    <w:rsid w:val="00406F1B"/>
    <w:rsid w:val="004073D4"/>
    <w:rsid w:val="00407B6B"/>
    <w:rsid w:val="00410790"/>
    <w:rsid w:val="00411EF4"/>
    <w:rsid w:val="00412152"/>
    <w:rsid w:val="004133BB"/>
    <w:rsid w:val="00413FB5"/>
    <w:rsid w:val="004142EF"/>
    <w:rsid w:val="00414DB1"/>
    <w:rsid w:val="00416667"/>
    <w:rsid w:val="00416CE4"/>
    <w:rsid w:val="00420958"/>
    <w:rsid w:val="00420EF1"/>
    <w:rsid w:val="00420F35"/>
    <w:rsid w:val="00421920"/>
    <w:rsid w:val="00421ACC"/>
    <w:rsid w:val="00421C2B"/>
    <w:rsid w:val="0042493A"/>
    <w:rsid w:val="004249A0"/>
    <w:rsid w:val="00424AE2"/>
    <w:rsid w:val="00424FFC"/>
    <w:rsid w:val="0043007A"/>
    <w:rsid w:val="0043196E"/>
    <w:rsid w:val="00432D49"/>
    <w:rsid w:val="004339EA"/>
    <w:rsid w:val="00433E8F"/>
    <w:rsid w:val="00437D7C"/>
    <w:rsid w:val="00437EB2"/>
    <w:rsid w:val="00440346"/>
    <w:rsid w:val="0044577B"/>
    <w:rsid w:val="00447DBD"/>
    <w:rsid w:val="00451292"/>
    <w:rsid w:val="00451404"/>
    <w:rsid w:val="004517F1"/>
    <w:rsid w:val="004534DA"/>
    <w:rsid w:val="004555B0"/>
    <w:rsid w:val="0046138B"/>
    <w:rsid w:val="00461AE3"/>
    <w:rsid w:val="00464A63"/>
    <w:rsid w:val="00466DD6"/>
    <w:rsid w:val="00470670"/>
    <w:rsid w:val="00470BDB"/>
    <w:rsid w:val="00472286"/>
    <w:rsid w:val="00475A47"/>
    <w:rsid w:val="004804EE"/>
    <w:rsid w:val="0048116F"/>
    <w:rsid w:val="004834D5"/>
    <w:rsid w:val="00484536"/>
    <w:rsid w:val="00484921"/>
    <w:rsid w:val="00486585"/>
    <w:rsid w:val="00486D77"/>
    <w:rsid w:val="00491F08"/>
    <w:rsid w:val="00493B21"/>
    <w:rsid w:val="00493FE1"/>
    <w:rsid w:val="004951D7"/>
    <w:rsid w:val="00496881"/>
    <w:rsid w:val="00497289"/>
    <w:rsid w:val="004A06AE"/>
    <w:rsid w:val="004A0F84"/>
    <w:rsid w:val="004A510D"/>
    <w:rsid w:val="004B06E3"/>
    <w:rsid w:val="004B3328"/>
    <w:rsid w:val="004B35DC"/>
    <w:rsid w:val="004B3AD3"/>
    <w:rsid w:val="004B5888"/>
    <w:rsid w:val="004C2770"/>
    <w:rsid w:val="004C2A36"/>
    <w:rsid w:val="004C2CAB"/>
    <w:rsid w:val="004C3663"/>
    <w:rsid w:val="004C3C6F"/>
    <w:rsid w:val="004C48EB"/>
    <w:rsid w:val="004C57EC"/>
    <w:rsid w:val="004C69F2"/>
    <w:rsid w:val="004D1461"/>
    <w:rsid w:val="004D375A"/>
    <w:rsid w:val="004D3A71"/>
    <w:rsid w:val="004D3BA2"/>
    <w:rsid w:val="004D3CE4"/>
    <w:rsid w:val="004D4F9C"/>
    <w:rsid w:val="004D7E51"/>
    <w:rsid w:val="004E027A"/>
    <w:rsid w:val="004E04EE"/>
    <w:rsid w:val="004E1B37"/>
    <w:rsid w:val="004E2704"/>
    <w:rsid w:val="004E4D01"/>
    <w:rsid w:val="004E6582"/>
    <w:rsid w:val="004F054F"/>
    <w:rsid w:val="004F109C"/>
    <w:rsid w:val="004F11D6"/>
    <w:rsid w:val="004F144B"/>
    <w:rsid w:val="004F1D56"/>
    <w:rsid w:val="004F2300"/>
    <w:rsid w:val="004F485C"/>
    <w:rsid w:val="004F6C25"/>
    <w:rsid w:val="005003CC"/>
    <w:rsid w:val="00500964"/>
    <w:rsid w:val="00500C66"/>
    <w:rsid w:val="00504F72"/>
    <w:rsid w:val="00505B94"/>
    <w:rsid w:val="005130EC"/>
    <w:rsid w:val="00513EC5"/>
    <w:rsid w:val="005146E6"/>
    <w:rsid w:val="00515FEC"/>
    <w:rsid w:val="0052437D"/>
    <w:rsid w:val="00534BB9"/>
    <w:rsid w:val="00535811"/>
    <w:rsid w:val="0053596C"/>
    <w:rsid w:val="00535A42"/>
    <w:rsid w:val="0053748E"/>
    <w:rsid w:val="00537C89"/>
    <w:rsid w:val="00541DDB"/>
    <w:rsid w:val="0054239C"/>
    <w:rsid w:val="00543FFB"/>
    <w:rsid w:val="005449C6"/>
    <w:rsid w:val="005457B6"/>
    <w:rsid w:val="00546442"/>
    <w:rsid w:val="0054786E"/>
    <w:rsid w:val="00552EF7"/>
    <w:rsid w:val="005551A7"/>
    <w:rsid w:val="00562E6F"/>
    <w:rsid w:val="00563A69"/>
    <w:rsid w:val="00564A27"/>
    <w:rsid w:val="0056560F"/>
    <w:rsid w:val="00566B42"/>
    <w:rsid w:val="0057165C"/>
    <w:rsid w:val="005722C6"/>
    <w:rsid w:val="0057348D"/>
    <w:rsid w:val="005734E7"/>
    <w:rsid w:val="005774B8"/>
    <w:rsid w:val="00580FF8"/>
    <w:rsid w:val="00581DAF"/>
    <w:rsid w:val="00581FB1"/>
    <w:rsid w:val="00582721"/>
    <w:rsid w:val="00585C8D"/>
    <w:rsid w:val="005862CC"/>
    <w:rsid w:val="005911FE"/>
    <w:rsid w:val="0059312F"/>
    <w:rsid w:val="0059324B"/>
    <w:rsid w:val="00594426"/>
    <w:rsid w:val="005953F2"/>
    <w:rsid w:val="00595758"/>
    <w:rsid w:val="00596081"/>
    <w:rsid w:val="00596FE1"/>
    <w:rsid w:val="005A3943"/>
    <w:rsid w:val="005A4D1A"/>
    <w:rsid w:val="005A51E6"/>
    <w:rsid w:val="005A632E"/>
    <w:rsid w:val="005B11A4"/>
    <w:rsid w:val="005B47BC"/>
    <w:rsid w:val="005B542B"/>
    <w:rsid w:val="005B7418"/>
    <w:rsid w:val="005C03A9"/>
    <w:rsid w:val="005C1496"/>
    <w:rsid w:val="005C2BFC"/>
    <w:rsid w:val="005C324B"/>
    <w:rsid w:val="005C367F"/>
    <w:rsid w:val="005C43E2"/>
    <w:rsid w:val="005C454A"/>
    <w:rsid w:val="005C5DA6"/>
    <w:rsid w:val="005C5FF5"/>
    <w:rsid w:val="005C74C9"/>
    <w:rsid w:val="005C7511"/>
    <w:rsid w:val="005D1B14"/>
    <w:rsid w:val="005D257B"/>
    <w:rsid w:val="005D4BDE"/>
    <w:rsid w:val="005D7E8D"/>
    <w:rsid w:val="005E1D5C"/>
    <w:rsid w:val="005E25DC"/>
    <w:rsid w:val="005E52AE"/>
    <w:rsid w:val="005E5607"/>
    <w:rsid w:val="005E567C"/>
    <w:rsid w:val="005E57D7"/>
    <w:rsid w:val="005E6C3A"/>
    <w:rsid w:val="005F0BC4"/>
    <w:rsid w:val="005F4E56"/>
    <w:rsid w:val="005F505E"/>
    <w:rsid w:val="00602976"/>
    <w:rsid w:val="00603560"/>
    <w:rsid w:val="0060388D"/>
    <w:rsid w:val="00604231"/>
    <w:rsid w:val="00610C2F"/>
    <w:rsid w:val="006148AA"/>
    <w:rsid w:val="00622F64"/>
    <w:rsid w:val="006235C4"/>
    <w:rsid w:val="00625805"/>
    <w:rsid w:val="00627AC4"/>
    <w:rsid w:val="0063095F"/>
    <w:rsid w:val="00631653"/>
    <w:rsid w:val="0063207E"/>
    <w:rsid w:val="0063253B"/>
    <w:rsid w:val="006363C8"/>
    <w:rsid w:val="00637AB8"/>
    <w:rsid w:val="0064370D"/>
    <w:rsid w:val="00643771"/>
    <w:rsid w:val="00644024"/>
    <w:rsid w:val="0064440D"/>
    <w:rsid w:val="00644946"/>
    <w:rsid w:val="00646AB8"/>
    <w:rsid w:val="00646D33"/>
    <w:rsid w:val="00647BD9"/>
    <w:rsid w:val="00652F15"/>
    <w:rsid w:val="00653D26"/>
    <w:rsid w:val="00654A3E"/>
    <w:rsid w:val="00656E37"/>
    <w:rsid w:val="00660D77"/>
    <w:rsid w:val="006624A7"/>
    <w:rsid w:val="00662C1E"/>
    <w:rsid w:val="0066515F"/>
    <w:rsid w:val="00666214"/>
    <w:rsid w:val="006668AF"/>
    <w:rsid w:val="00666A7D"/>
    <w:rsid w:val="00666A9A"/>
    <w:rsid w:val="00670536"/>
    <w:rsid w:val="0067268E"/>
    <w:rsid w:val="00683F61"/>
    <w:rsid w:val="006846A1"/>
    <w:rsid w:val="00686439"/>
    <w:rsid w:val="00687071"/>
    <w:rsid w:val="00687D10"/>
    <w:rsid w:val="006909E4"/>
    <w:rsid w:val="006930CA"/>
    <w:rsid w:val="006979A9"/>
    <w:rsid w:val="006A3778"/>
    <w:rsid w:val="006A6051"/>
    <w:rsid w:val="006B0814"/>
    <w:rsid w:val="006B31D9"/>
    <w:rsid w:val="006B3218"/>
    <w:rsid w:val="006B7B9A"/>
    <w:rsid w:val="006C00DC"/>
    <w:rsid w:val="006C0102"/>
    <w:rsid w:val="006C07D4"/>
    <w:rsid w:val="006C41AD"/>
    <w:rsid w:val="006D04BD"/>
    <w:rsid w:val="006D4E64"/>
    <w:rsid w:val="006D4F49"/>
    <w:rsid w:val="006D7180"/>
    <w:rsid w:val="006E2341"/>
    <w:rsid w:val="006E37DA"/>
    <w:rsid w:val="006E433B"/>
    <w:rsid w:val="006E6781"/>
    <w:rsid w:val="006E7899"/>
    <w:rsid w:val="006E7C78"/>
    <w:rsid w:val="006F27F4"/>
    <w:rsid w:val="006F2E23"/>
    <w:rsid w:val="006F7024"/>
    <w:rsid w:val="006F78DB"/>
    <w:rsid w:val="006F7A32"/>
    <w:rsid w:val="006F7BBE"/>
    <w:rsid w:val="00701F52"/>
    <w:rsid w:val="00703A7C"/>
    <w:rsid w:val="00705CB3"/>
    <w:rsid w:val="00706972"/>
    <w:rsid w:val="00706F67"/>
    <w:rsid w:val="007076DA"/>
    <w:rsid w:val="00707860"/>
    <w:rsid w:val="0071285A"/>
    <w:rsid w:val="0071449F"/>
    <w:rsid w:val="00715229"/>
    <w:rsid w:val="007207BF"/>
    <w:rsid w:val="00721BBE"/>
    <w:rsid w:val="00723A6E"/>
    <w:rsid w:val="00724B0B"/>
    <w:rsid w:val="00725CB0"/>
    <w:rsid w:val="00732239"/>
    <w:rsid w:val="0073517D"/>
    <w:rsid w:val="0073613B"/>
    <w:rsid w:val="007365B5"/>
    <w:rsid w:val="0073685C"/>
    <w:rsid w:val="007377A8"/>
    <w:rsid w:val="00737874"/>
    <w:rsid w:val="00737EA5"/>
    <w:rsid w:val="007400AE"/>
    <w:rsid w:val="00741F3E"/>
    <w:rsid w:val="00743AA8"/>
    <w:rsid w:val="007441B4"/>
    <w:rsid w:val="00750840"/>
    <w:rsid w:val="00754307"/>
    <w:rsid w:val="00757617"/>
    <w:rsid w:val="00761E3F"/>
    <w:rsid w:val="00763AD8"/>
    <w:rsid w:val="00765016"/>
    <w:rsid w:val="0076506C"/>
    <w:rsid w:val="00767EDE"/>
    <w:rsid w:val="0077100C"/>
    <w:rsid w:val="007722C6"/>
    <w:rsid w:val="00772ECB"/>
    <w:rsid w:val="00776B70"/>
    <w:rsid w:val="00776C39"/>
    <w:rsid w:val="0078047A"/>
    <w:rsid w:val="00781D00"/>
    <w:rsid w:val="0078471E"/>
    <w:rsid w:val="00785B4B"/>
    <w:rsid w:val="00787DBD"/>
    <w:rsid w:val="007900F3"/>
    <w:rsid w:val="007919EC"/>
    <w:rsid w:val="00791B69"/>
    <w:rsid w:val="0079277B"/>
    <w:rsid w:val="0079352A"/>
    <w:rsid w:val="0079498E"/>
    <w:rsid w:val="00794A51"/>
    <w:rsid w:val="00796EBD"/>
    <w:rsid w:val="00796F10"/>
    <w:rsid w:val="0079743B"/>
    <w:rsid w:val="007A32F3"/>
    <w:rsid w:val="007A584B"/>
    <w:rsid w:val="007A6AB5"/>
    <w:rsid w:val="007B0028"/>
    <w:rsid w:val="007B2B46"/>
    <w:rsid w:val="007B30F2"/>
    <w:rsid w:val="007B31DA"/>
    <w:rsid w:val="007B377F"/>
    <w:rsid w:val="007B4274"/>
    <w:rsid w:val="007B5117"/>
    <w:rsid w:val="007B5308"/>
    <w:rsid w:val="007B599D"/>
    <w:rsid w:val="007B6033"/>
    <w:rsid w:val="007B66F5"/>
    <w:rsid w:val="007B6A74"/>
    <w:rsid w:val="007B7903"/>
    <w:rsid w:val="007C23C9"/>
    <w:rsid w:val="007C2528"/>
    <w:rsid w:val="007C2DC8"/>
    <w:rsid w:val="007C3C89"/>
    <w:rsid w:val="007C4A55"/>
    <w:rsid w:val="007C52F8"/>
    <w:rsid w:val="007C6761"/>
    <w:rsid w:val="007D097E"/>
    <w:rsid w:val="007D1C6D"/>
    <w:rsid w:val="007D230B"/>
    <w:rsid w:val="007D2D80"/>
    <w:rsid w:val="007D3681"/>
    <w:rsid w:val="007D3824"/>
    <w:rsid w:val="007D49A1"/>
    <w:rsid w:val="007D59DD"/>
    <w:rsid w:val="007E1181"/>
    <w:rsid w:val="007E1F66"/>
    <w:rsid w:val="007E23AE"/>
    <w:rsid w:val="007E4C10"/>
    <w:rsid w:val="007E6501"/>
    <w:rsid w:val="007E652E"/>
    <w:rsid w:val="007E6C25"/>
    <w:rsid w:val="007E76BD"/>
    <w:rsid w:val="007F32D7"/>
    <w:rsid w:val="00801632"/>
    <w:rsid w:val="00802F54"/>
    <w:rsid w:val="008046CA"/>
    <w:rsid w:val="0080520B"/>
    <w:rsid w:val="00807023"/>
    <w:rsid w:val="00807B3E"/>
    <w:rsid w:val="00810D4A"/>
    <w:rsid w:val="00812F82"/>
    <w:rsid w:val="008146FD"/>
    <w:rsid w:val="008152CD"/>
    <w:rsid w:val="008154C1"/>
    <w:rsid w:val="00816AAB"/>
    <w:rsid w:val="00820402"/>
    <w:rsid w:val="008211C8"/>
    <w:rsid w:val="00821460"/>
    <w:rsid w:val="0082410F"/>
    <w:rsid w:val="008243B2"/>
    <w:rsid w:val="00824A8E"/>
    <w:rsid w:val="00824F08"/>
    <w:rsid w:val="008278A6"/>
    <w:rsid w:val="008310DF"/>
    <w:rsid w:val="00831105"/>
    <w:rsid w:val="0083196F"/>
    <w:rsid w:val="00835487"/>
    <w:rsid w:val="00836308"/>
    <w:rsid w:val="00842984"/>
    <w:rsid w:val="008440D2"/>
    <w:rsid w:val="00844A4B"/>
    <w:rsid w:val="00852A0D"/>
    <w:rsid w:val="00854676"/>
    <w:rsid w:val="00855AA6"/>
    <w:rsid w:val="00860B26"/>
    <w:rsid w:val="00860D67"/>
    <w:rsid w:val="00861911"/>
    <w:rsid w:val="00862462"/>
    <w:rsid w:val="00863187"/>
    <w:rsid w:val="00864DF3"/>
    <w:rsid w:val="00865296"/>
    <w:rsid w:val="00866729"/>
    <w:rsid w:val="00867086"/>
    <w:rsid w:val="00874663"/>
    <w:rsid w:val="00881B95"/>
    <w:rsid w:val="008831CA"/>
    <w:rsid w:val="00884E97"/>
    <w:rsid w:val="008870C5"/>
    <w:rsid w:val="008900FA"/>
    <w:rsid w:val="0089272A"/>
    <w:rsid w:val="00892E06"/>
    <w:rsid w:val="00894890"/>
    <w:rsid w:val="00897228"/>
    <w:rsid w:val="00897247"/>
    <w:rsid w:val="008A26EC"/>
    <w:rsid w:val="008A523A"/>
    <w:rsid w:val="008A6F4E"/>
    <w:rsid w:val="008B0508"/>
    <w:rsid w:val="008B08F0"/>
    <w:rsid w:val="008B2439"/>
    <w:rsid w:val="008B25FE"/>
    <w:rsid w:val="008B262C"/>
    <w:rsid w:val="008B6FC8"/>
    <w:rsid w:val="008C1071"/>
    <w:rsid w:val="008C19E9"/>
    <w:rsid w:val="008C26E9"/>
    <w:rsid w:val="008C669B"/>
    <w:rsid w:val="008C774E"/>
    <w:rsid w:val="008D3063"/>
    <w:rsid w:val="008D4652"/>
    <w:rsid w:val="008D5C18"/>
    <w:rsid w:val="008D6D9D"/>
    <w:rsid w:val="008E28D3"/>
    <w:rsid w:val="008E48DE"/>
    <w:rsid w:val="008E6837"/>
    <w:rsid w:val="008E7B46"/>
    <w:rsid w:val="008F06FA"/>
    <w:rsid w:val="008F1691"/>
    <w:rsid w:val="008F22E2"/>
    <w:rsid w:val="008F2CA4"/>
    <w:rsid w:val="008F5698"/>
    <w:rsid w:val="008F639E"/>
    <w:rsid w:val="008F73D8"/>
    <w:rsid w:val="00901EF2"/>
    <w:rsid w:val="00901F65"/>
    <w:rsid w:val="00902229"/>
    <w:rsid w:val="00903EB6"/>
    <w:rsid w:val="009044BF"/>
    <w:rsid w:val="00905DBC"/>
    <w:rsid w:val="009079D0"/>
    <w:rsid w:val="00913D0A"/>
    <w:rsid w:val="009148A1"/>
    <w:rsid w:val="009174B9"/>
    <w:rsid w:val="0092226B"/>
    <w:rsid w:val="00924972"/>
    <w:rsid w:val="009262B3"/>
    <w:rsid w:val="00926BEB"/>
    <w:rsid w:val="0093089B"/>
    <w:rsid w:val="00932D8E"/>
    <w:rsid w:val="00932E1E"/>
    <w:rsid w:val="00934068"/>
    <w:rsid w:val="00935983"/>
    <w:rsid w:val="00936849"/>
    <w:rsid w:val="009369F9"/>
    <w:rsid w:val="00936BF8"/>
    <w:rsid w:val="00937854"/>
    <w:rsid w:val="00940606"/>
    <w:rsid w:val="0094113B"/>
    <w:rsid w:val="009421BA"/>
    <w:rsid w:val="00942611"/>
    <w:rsid w:val="009453FA"/>
    <w:rsid w:val="0094641B"/>
    <w:rsid w:val="0094641C"/>
    <w:rsid w:val="009469E0"/>
    <w:rsid w:val="00946B69"/>
    <w:rsid w:val="00947062"/>
    <w:rsid w:val="00947B57"/>
    <w:rsid w:val="00951C4D"/>
    <w:rsid w:val="00952E03"/>
    <w:rsid w:val="009547E2"/>
    <w:rsid w:val="00956488"/>
    <w:rsid w:val="00956F5F"/>
    <w:rsid w:val="009610DC"/>
    <w:rsid w:val="00963EC5"/>
    <w:rsid w:val="009640FE"/>
    <w:rsid w:val="00965D4E"/>
    <w:rsid w:val="009676EE"/>
    <w:rsid w:val="0097154F"/>
    <w:rsid w:val="00980D0E"/>
    <w:rsid w:val="00985996"/>
    <w:rsid w:val="00986978"/>
    <w:rsid w:val="00990907"/>
    <w:rsid w:val="00990A94"/>
    <w:rsid w:val="00994F74"/>
    <w:rsid w:val="00994F82"/>
    <w:rsid w:val="0099563A"/>
    <w:rsid w:val="00995939"/>
    <w:rsid w:val="00996686"/>
    <w:rsid w:val="00996EA6"/>
    <w:rsid w:val="009A13F4"/>
    <w:rsid w:val="009A2BB7"/>
    <w:rsid w:val="009A44BE"/>
    <w:rsid w:val="009A547D"/>
    <w:rsid w:val="009A6763"/>
    <w:rsid w:val="009B029F"/>
    <w:rsid w:val="009B0AC9"/>
    <w:rsid w:val="009B2513"/>
    <w:rsid w:val="009B27F8"/>
    <w:rsid w:val="009B471A"/>
    <w:rsid w:val="009B4A8B"/>
    <w:rsid w:val="009B6E38"/>
    <w:rsid w:val="009B74FB"/>
    <w:rsid w:val="009C0660"/>
    <w:rsid w:val="009C4845"/>
    <w:rsid w:val="009C4D6D"/>
    <w:rsid w:val="009C7314"/>
    <w:rsid w:val="009D2442"/>
    <w:rsid w:val="009D5D9F"/>
    <w:rsid w:val="009E0FA2"/>
    <w:rsid w:val="009E11F1"/>
    <w:rsid w:val="009E2244"/>
    <w:rsid w:val="009E2BBA"/>
    <w:rsid w:val="009E652B"/>
    <w:rsid w:val="009E70EB"/>
    <w:rsid w:val="009F1DBB"/>
    <w:rsid w:val="009F34AA"/>
    <w:rsid w:val="009F39FE"/>
    <w:rsid w:val="009F42E3"/>
    <w:rsid w:val="009F57FD"/>
    <w:rsid w:val="009F7F9F"/>
    <w:rsid w:val="00A0013E"/>
    <w:rsid w:val="00A005AB"/>
    <w:rsid w:val="00A0193A"/>
    <w:rsid w:val="00A01960"/>
    <w:rsid w:val="00A01E02"/>
    <w:rsid w:val="00A01F17"/>
    <w:rsid w:val="00A02E26"/>
    <w:rsid w:val="00A05BA0"/>
    <w:rsid w:val="00A06951"/>
    <w:rsid w:val="00A104F1"/>
    <w:rsid w:val="00A137A6"/>
    <w:rsid w:val="00A159C9"/>
    <w:rsid w:val="00A15AE3"/>
    <w:rsid w:val="00A1670F"/>
    <w:rsid w:val="00A167FB"/>
    <w:rsid w:val="00A204EF"/>
    <w:rsid w:val="00A21B70"/>
    <w:rsid w:val="00A21D02"/>
    <w:rsid w:val="00A21DDB"/>
    <w:rsid w:val="00A23CF6"/>
    <w:rsid w:val="00A2690C"/>
    <w:rsid w:val="00A2792F"/>
    <w:rsid w:val="00A27A4A"/>
    <w:rsid w:val="00A30970"/>
    <w:rsid w:val="00A315E4"/>
    <w:rsid w:val="00A31D96"/>
    <w:rsid w:val="00A31FEE"/>
    <w:rsid w:val="00A33C55"/>
    <w:rsid w:val="00A365E5"/>
    <w:rsid w:val="00A366AC"/>
    <w:rsid w:val="00A42875"/>
    <w:rsid w:val="00A4309B"/>
    <w:rsid w:val="00A44DC1"/>
    <w:rsid w:val="00A47A98"/>
    <w:rsid w:val="00A47EE7"/>
    <w:rsid w:val="00A50B43"/>
    <w:rsid w:val="00A51C87"/>
    <w:rsid w:val="00A54197"/>
    <w:rsid w:val="00A6051E"/>
    <w:rsid w:val="00A61821"/>
    <w:rsid w:val="00A61D71"/>
    <w:rsid w:val="00A649FF"/>
    <w:rsid w:val="00A64D68"/>
    <w:rsid w:val="00A67185"/>
    <w:rsid w:val="00A67524"/>
    <w:rsid w:val="00A67CA5"/>
    <w:rsid w:val="00A71B47"/>
    <w:rsid w:val="00A72B81"/>
    <w:rsid w:val="00A75CCD"/>
    <w:rsid w:val="00A80506"/>
    <w:rsid w:val="00A806AE"/>
    <w:rsid w:val="00A8118F"/>
    <w:rsid w:val="00A83458"/>
    <w:rsid w:val="00A8462C"/>
    <w:rsid w:val="00A86C41"/>
    <w:rsid w:val="00A87DB7"/>
    <w:rsid w:val="00A90148"/>
    <w:rsid w:val="00A904BF"/>
    <w:rsid w:val="00A917F8"/>
    <w:rsid w:val="00A970CE"/>
    <w:rsid w:val="00AA0049"/>
    <w:rsid w:val="00AA0D8C"/>
    <w:rsid w:val="00AA25BC"/>
    <w:rsid w:val="00AA3077"/>
    <w:rsid w:val="00AA46AF"/>
    <w:rsid w:val="00AB1C14"/>
    <w:rsid w:val="00AB221F"/>
    <w:rsid w:val="00AB3B2B"/>
    <w:rsid w:val="00AB43E5"/>
    <w:rsid w:val="00AB4E9E"/>
    <w:rsid w:val="00AB6C99"/>
    <w:rsid w:val="00AC11D5"/>
    <w:rsid w:val="00AC15E5"/>
    <w:rsid w:val="00AC22BB"/>
    <w:rsid w:val="00AC3ACD"/>
    <w:rsid w:val="00AC4080"/>
    <w:rsid w:val="00AC4BD2"/>
    <w:rsid w:val="00AC5A6D"/>
    <w:rsid w:val="00AC5D73"/>
    <w:rsid w:val="00AC5EE6"/>
    <w:rsid w:val="00AC73AD"/>
    <w:rsid w:val="00AC7885"/>
    <w:rsid w:val="00AD28CD"/>
    <w:rsid w:val="00AD4924"/>
    <w:rsid w:val="00AD6EBD"/>
    <w:rsid w:val="00AD705A"/>
    <w:rsid w:val="00AD78F9"/>
    <w:rsid w:val="00AE008D"/>
    <w:rsid w:val="00AE055C"/>
    <w:rsid w:val="00AE1FCA"/>
    <w:rsid w:val="00AE30E0"/>
    <w:rsid w:val="00AE346F"/>
    <w:rsid w:val="00AE3AD5"/>
    <w:rsid w:val="00AE4B3D"/>
    <w:rsid w:val="00AF2329"/>
    <w:rsid w:val="00AF3660"/>
    <w:rsid w:val="00AF3E70"/>
    <w:rsid w:val="00AF5BA0"/>
    <w:rsid w:val="00AF6103"/>
    <w:rsid w:val="00AF7A20"/>
    <w:rsid w:val="00B01312"/>
    <w:rsid w:val="00B016E1"/>
    <w:rsid w:val="00B02061"/>
    <w:rsid w:val="00B02D98"/>
    <w:rsid w:val="00B04D9A"/>
    <w:rsid w:val="00B10CF0"/>
    <w:rsid w:val="00B11A50"/>
    <w:rsid w:val="00B12028"/>
    <w:rsid w:val="00B15D2F"/>
    <w:rsid w:val="00B16399"/>
    <w:rsid w:val="00B1760F"/>
    <w:rsid w:val="00B17E46"/>
    <w:rsid w:val="00B207DA"/>
    <w:rsid w:val="00B2084E"/>
    <w:rsid w:val="00B23088"/>
    <w:rsid w:val="00B24A3A"/>
    <w:rsid w:val="00B2562B"/>
    <w:rsid w:val="00B2586D"/>
    <w:rsid w:val="00B25AE4"/>
    <w:rsid w:val="00B26909"/>
    <w:rsid w:val="00B26D0C"/>
    <w:rsid w:val="00B26D0D"/>
    <w:rsid w:val="00B26E50"/>
    <w:rsid w:val="00B27664"/>
    <w:rsid w:val="00B31169"/>
    <w:rsid w:val="00B3155C"/>
    <w:rsid w:val="00B31828"/>
    <w:rsid w:val="00B42BEE"/>
    <w:rsid w:val="00B452B7"/>
    <w:rsid w:val="00B458E3"/>
    <w:rsid w:val="00B476FF"/>
    <w:rsid w:val="00B47DA7"/>
    <w:rsid w:val="00B518FF"/>
    <w:rsid w:val="00B54F17"/>
    <w:rsid w:val="00B554FF"/>
    <w:rsid w:val="00B561EE"/>
    <w:rsid w:val="00B5635D"/>
    <w:rsid w:val="00B57761"/>
    <w:rsid w:val="00B57D47"/>
    <w:rsid w:val="00B6210E"/>
    <w:rsid w:val="00B632E3"/>
    <w:rsid w:val="00B63BDD"/>
    <w:rsid w:val="00B64DC8"/>
    <w:rsid w:val="00B651EC"/>
    <w:rsid w:val="00B659D1"/>
    <w:rsid w:val="00B70688"/>
    <w:rsid w:val="00B761BB"/>
    <w:rsid w:val="00B77091"/>
    <w:rsid w:val="00B8353E"/>
    <w:rsid w:val="00B837C1"/>
    <w:rsid w:val="00B841E0"/>
    <w:rsid w:val="00B860BA"/>
    <w:rsid w:val="00B865F5"/>
    <w:rsid w:val="00B870A0"/>
    <w:rsid w:val="00B91687"/>
    <w:rsid w:val="00B91980"/>
    <w:rsid w:val="00B91DFE"/>
    <w:rsid w:val="00B92F8B"/>
    <w:rsid w:val="00B93EA0"/>
    <w:rsid w:val="00B95494"/>
    <w:rsid w:val="00B966E9"/>
    <w:rsid w:val="00B96992"/>
    <w:rsid w:val="00B96BC7"/>
    <w:rsid w:val="00B97229"/>
    <w:rsid w:val="00BA02D3"/>
    <w:rsid w:val="00BA08A3"/>
    <w:rsid w:val="00BA5AB3"/>
    <w:rsid w:val="00BB0B0C"/>
    <w:rsid w:val="00BB227E"/>
    <w:rsid w:val="00BB6732"/>
    <w:rsid w:val="00BB7E3D"/>
    <w:rsid w:val="00BC280E"/>
    <w:rsid w:val="00BC30AF"/>
    <w:rsid w:val="00BC37DA"/>
    <w:rsid w:val="00BC3CD1"/>
    <w:rsid w:val="00BC5CC5"/>
    <w:rsid w:val="00BC5EC6"/>
    <w:rsid w:val="00BC5F0E"/>
    <w:rsid w:val="00BD15AB"/>
    <w:rsid w:val="00BD2211"/>
    <w:rsid w:val="00BD221D"/>
    <w:rsid w:val="00BD3E65"/>
    <w:rsid w:val="00BD519F"/>
    <w:rsid w:val="00BD5934"/>
    <w:rsid w:val="00BD7785"/>
    <w:rsid w:val="00BD7A4F"/>
    <w:rsid w:val="00BE3B2E"/>
    <w:rsid w:val="00BF1CBD"/>
    <w:rsid w:val="00BF52C4"/>
    <w:rsid w:val="00C006BE"/>
    <w:rsid w:val="00C01421"/>
    <w:rsid w:val="00C04BB2"/>
    <w:rsid w:val="00C05B8E"/>
    <w:rsid w:val="00C1063D"/>
    <w:rsid w:val="00C11B6C"/>
    <w:rsid w:val="00C15E0E"/>
    <w:rsid w:val="00C2049B"/>
    <w:rsid w:val="00C20D8E"/>
    <w:rsid w:val="00C23FB5"/>
    <w:rsid w:val="00C24A1A"/>
    <w:rsid w:val="00C30E75"/>
    <w:rsid w:val="00C31B19"/>
    <w:rsid w:val="00C3251F"/>
    <w:rsid w:val="00C32D84"/>
    <w:rsid w:val="00C331BB"/>
    <w:rsid w:val="00C403FE"/>
    <w:rsid w:val="00C41A08"/>
    <w:rsid w:val="00C422B9"/>
    <w:rsid w:val="00C4241E"/>
    <w:rsid w:val="00C45256"/>
    <w:rsid w:val="00C50EFE"/>
    <w:rsid w:val="00C51F8A"/>
    <w:rsid w:val="00C54973"/>
    <w:rsid w:val="00C565BC"/>
    <w:rsid w:val="00C60BAE"/>
    <w:rsid w:val="00C60D84"/>
    <w:rsid w:val="00C615A3"/>
    <w:rsid w:val="00C633D7"/>
    <w:rsid w:val="00C635DA"/>
    <w:rsid w:val="00C639E7"/>
    <w:rsid w:val="00C659BE"/>
    <w:rsid w:val="00C65B94"/>
    <w:rsid w:val="00C70DA8"/>
    <w:rsid w:val="00C763E6"/>
    <w:rsid w:val="00C76776"/>
    <w:rsid w:val="00C768A8"/>
    <w:rsid w:val="00C7741C"/>
    <w:rsid w:val="00C80300"/>
    <w:rsid w:val="00C81907"/>
    <w:rsid w:val="00C81E46"/>
    <w:rsid w:val="00C82307"/>
    <w:rsid w:val="00C8613B"/>
    <w:rsid w:val="00C906AD"/>
    <w:rsid w:val="00C92622"/>
    <w:rsid w:val="00C944E3"/>
    <w:rsid w:val="00C97228"/>
    <w:rsid w:val="00C9780D"/>
    <w:rsid w:val="00CA02DA"/>
    <w:rsid w:val="00CA1A54"/>
    <w:rsid w:val="00CA4B9D"/>
    <w:rsid w:val="00CA6A5A"/>
    <w:rsid w:val="00CA708D"/>
    <w:rsid w:val="00CA798D"/>
    <w:rsid w:val="00CB1543"/>
    <w:rsid w:val="00CB16BA"/>
    <w:rsid w:val="00CB1B4B"/>
    <w:rsid w:val="00CB2C77"/>
    <w:rsid w:val="00CB304F"/>
    <w:rsid w:val="00CB4CE9"/>
    <w:rsid w:val="00CB56EA"/>
    <w:rsid w:val="00CC0865"/>
    <w:rsid w:val="00CC46B2"/>
    <w:rsid w:val="00CC4C49"/>
    <w:rsid w:val="00CC5718"/>
    <w:rsid w:val="00CD1352"/>
    <w:rsid w:val="00CD19D1"/>
    <w:rsid w:val="00CD1CBE"/>
    <w:rsid w:val="00CD1E3E"/>
    <w:rsid w:val="00CD32E2"/>
    <w:rsid w:val="00CD4B0B"/>
    <w:rsid w:val="00CD6698"/>
    <w:rsid w:val="00CE1E5B"/>
    <w:rsid w:val="00CE2091"/>
    <w:rsid w:val="00CE2BEE"/>
    <w:rsid w:val="00CE4DE2"/>
    <w:rsid w:val="00CE5646"/>
    <w:rsid w:val="00CE687A"/>
    <w:rsid w:val="00CE6E90"/>
    <w:rsid w:val="00CF1D92"/>
    <w:rsid w:val="00CF36A2"/>
    <w:rsid w:val="00CF3BDD"/>
    <w:rsid w:val="00CF5D91"/>
    <w:rsid w:val="00D0025C"/>
    <w:rsid w:val="00D02C36"/>
    <w:rsid w:val="00D03137"/>
    <w:rsid w:val="00D0456F"/>
    <w:rsid w:val="00D04F62"/>
    <w:rsid w:val="00D061FF"/>
    <w:rsid w:val="00D0672E"/>
    <w:rsid w:val="00D06BD9"/>
    <w:rsid w:val="00D07E6F"/>
    <w:rsid w:val="00D11742"/>
    <w:rsid w:val="00D11C7A"/>
    <w:rsid w:val="00D12172"/>
    <w:rsid w:val="00D1255F"/>
    <w:rsid w:val="00D12B8C"/>
    <w:rsid w:val="00D147E0"/>
    <w:rsid w:val="00D157EA"/>
    <w:rsid w:val="00D15CBC"/>
    <w:rsid w:val="00D200F6"/>
    <w:rsid w:val="00D21646"/>
    <w:rsid w:val="00D21705"/>
    <w:rsid w:val="00D225DD"/>
    <w:rsid w:val="00D279E3"/>
    <w:rsid w:val="00D3171B"/>
    <w:rsid w:val="00D3402F"/>
    <w:rsid w:val="00D36A3A"/>
    <w:rsid w:val="00D37459"/>
    <w:rsid w:val="00D434D1"/>
    <w:rsid w:val="00D4472B"/>
    <w:rsid w:val="00D454F2"/>
    <w:rsid w:val="00D47CE9"/>
    <w:rsid w:val="00D52995"/>
    <w:rsid w:val="00D540D7"/>
    <w:rsid w:val="00D5711D"/>
    <w:rsid w:val="00D6376F"/>
    <w:rsid w:val="00D6417C"/>
    <w:rsid w:val="00D6524D"/>
    <w:rsid w:val="00D65FCC"/>
    <w:rsid w:val="00D70BB4"/>
    <w:rsid w:val="00D711EC"/>
    <w:rsid w:val="00D72ADE"/>
    <w:rsid w:val="00D75233"/>
    <w:rsid w:val="00D75644"/>
    <w:rsid w:val="00D76740"/>
    <w:rsid w:val="00D76C1B"/>
    <w:rsid w:val="00D76F49"/>
    <w:rsid w:val="00D7728F"/>
    <w:rsid w:val="00D77696"/>
    <w:rsid w:val="00D8121A"/>
    <w:rsid w:val="00D81CC4"/>
    <w:rsid w:val="00D83C74"/>
    <w:rsid w:val="00D86BB6"/>
    <w:rsid w:val="00D87752"/>
    <w:rsid w:val="00D9099D"/>
    <w:rsid w:val="00D961E3"/>
    <w:rsid w:val="00D96CAA"/>
    <w:rsid w:val="00D9765E"/>
    <w:rsid w:val="00DA0860"/>
    <w:rsid w:val="00DA0F89"/>
    <w:rsid w:val="00DA251F"/>
    <w:rsid w:val="00DA4591"/>
    <w:rsid w:val="00DA6430"/>
    <w:rsid w:val="00DB3487"/>
    <w:rsid w:val="00DB3826"/>
    <w:rsid w:val="00DB4EF7"/>
    <w:rsid w:val="00DB63DB"/>
    <w:rsid w:val="00DB6526"/>
    <w:rsid w:val="00DB7824"/>
    <w:rsid w:val="00DC0895"/>
    <w:rsid w:val="00DC308E"/>
    <w:rsid w:val="00DC3EDD"/>
    <w:rsid w:val="00DC4776"/>
    <w:rsid w:val="00DC57DD"/>
    <w:rsid w:val="00DC7028"/>
    <w:rsid w:val="00DC7F73"/>
    <w:rsid w:val="00DD34FA"/>
    <w:rsid w:val="00DD7C34"/>
    <w:rsid w:val="00DE191A"/>
    <w:rsid w:val="00DE27F9"/>
    <w:rsid w:val="00DE3123"/>
    <w:rsid w:val="00DE339F"/>
    <w:rsid w:val="00DE44A8"/>
    <w:rsid w:val="00DF1535"/>
    <w:rsid w:val="00DF1D9B"/>
    <w:rsid w:val="00DF1F78"/>
    <w:rsid w:val="00DF40D1"/>
    <w:rsid w:val="00DF53F5"/>
    <w:rsid w:val="00DF61FD"/>
    <w:rsid w:val="00DF694C"/>
    <w:rsid w:val="00DF6D25"/>
    <w:rsid w:val="00E01894"/>
    <w:rsid w:val="00E0277E"/>
    <w:rsid w:val="00E03C6D"/>
    <w:rsid w:val="00E03FAD"/>
    <w:rsid w:val="00E055BE"/>
    <w:rsid w:val="00E05FF4"/>
    <w:rsid w:val="00E101E6"/>
    <w:rsid w:val="00E11EE3"/>
    <w:rsid w:val="00E12999"/>
    <w:rsid w:val="00E135F9"/>
    <w:rsid w:val="00E14349"/>
    <w:rsid w:val="00E20C28"/>
    <w:rsid w:val="00E22A77"/>
    <w:rsid w:val="00E22E84"/>
    <w:rsid w:val="00E24B18"/>
    <w:rsid w:val="00E259C7"/>
    <w:rsid w:val="00E2698F"/>
    <w:rsid w:val="00E3016C"/>
    <w:rsid w:val="00E31032"/>
    <w:rsid w:val="00E3321B"/>
    <w:rsid w:val="00E348BC"/>
    <w:rsid w:val="00E42391"/>
    <w:rsid w:val="00E42C44"/>
    <w:rsid w:val="00E42F1A"/>
    <w:rsid w:val="00E4318F"/>
    <w:rsid w:val="00E4392E"/>
    <w:rsid w:val="00E44379"/>
    <w:rsid w:val="00E46E0F"/>
    <w:rsid w:val="00E54395"/>
    <w:rsid w:val="00E54543"/>
    <w:rsid w:val="00E54741"/>
    <w:rsid w:val="00E568E5"/>
    <w:rsid w:val="00E6075E"/>
    <w:rsid w:val="00E6453F"/>
    <w:rsid w:val="00E659EF"/>
    <w:rsid w:val="00E664F6"/>
    <w:rsid w:val="00E66D0E"/>
    <w:rsid w:val="00E70CBD"/>
    <w:rsid w:val="00E717E8"/>
    <w:rsid w:val="00E73D81"/>
    <w:rsid w:val="00E74646"/>
    <w:rsid w:val="00E74804"/>
    <w:rsid w:val="00E754F4"/>
    <w:rsid w:val="00E754FA"/>
    <w:rsid w:val="00E82751"/>
    <w:rsid w:val="00E83976"/>
    <w:rsid w:val="00E85029"/>
    <w:rsid w:val="00E859D4"/>
    <w:rsid w:val="00EA02CB"/>
    <w:rsid w:val="00EA0469"/>
    <w:rsid w:val="00EA1320"/>
    <w:rsid w:val="00EA2D3D"/>
    <w:rsid w:val="00EA3F4D"/>
    <w:rsid w:val="00EA45A7"/>
    <w:rsid w:val="00EA5B84"/>
    <w:rsid w:val="00EA7343"/>
    <w:rsid w:val="00EB1099"/>
    <w:rsid w:val="00EB20F9"/>
    <w:rsid w:val="00EB24EB"/>
    <w:rsid w:val="00EB2C78"/>
    <w:rsid w:val="00EB4953"/>
    <w:rsid w:val="00EB5C64"/>
    <w:rsid w:val="00EB60EB"/>
    <w:rsid w:val="00EB6838"/>
    <w:rsid w:val="00EC3299"/>
    <w:rsid w:val="00ED06CC"/>
    <w:rsid w:val="00ED0723"/>
    <w:rsid w:val="00ED0876"/>
    <w:rsid w:val="00ED2C8E"/>
    <w:rsid w:val="00ED379E"/>
    <w:rsid w:val="00ED4AF7"/>
    <w:rsid w:val="00ED52ED"/>
    <w:rsid w:val="00ED7680"/>
    <w:rsid w:val="00EE0424"/>
    <w:rsid w:val="00EE0D47"/>
    <w:rsid w:val="00EE33CC"/>
    <w:rsid w:val="00EE5358"/>
    <w:rsid w:val="00EF05FE"/>
    <w:rsid w:val="00EF2993"/>
    <w:rsid w:val="00EF71E9"/>
    <w:rsid w:val="00F001EB"/>
    <w:rsid w:val="00F00235"/>
    <w:rsid w:val="00F006D2"/>
    <w:rsid w:val="00F00BD1"/>
    <w:rsid w:val="00F01FD9"/>
    <w:rsid w:val="00F04767"/>
    <w:rsid w:val="00F04B07"/>
    <w:rsid w:val="00F05BA8"/>
    <w:rsid w:val="00F05DE8"/>
    <w:rsid w:val="00F1394E"/>
    <w:rsid w:val="00F16F13"/>
    <w:rsid w:val="00F17749"/>
    <w:rsid w:val="00F20A9F"/>
    <w:rsid w:val="00F21061"/>
    <w:rsid w:val="00F213DB"/>
    <w:rsid w:val="00F23E9A"/>
    <w:rsid w:val="00F242D9"/>
    <w:rsid w:val="00F335AA"/>
    <w:rsid w:val="00F3715D"/>
    <w:rsid w:val="00F44B62"/>
    <w:rsid w:val="00F45A34"/>
    <w:rsid w:val="00F46AA0"/>
    <w:rsid w:val="00F5072C"/>
    <w:rsid w:val="00F51CBF"/>
    <w:rsid w:val="00F5411D"/>
    <w:rsid w:val="00F5605A"/>
    <w:rsid w:val="00F56D2B"/>
    <w:rsid w:val="00F57D2D"/>
    <w:rsid w:val="00F60BE3"/>
    <w:rsid w:val="00F62A49"/>
    <w:rsid w:val="00F64F0D"/>
    <w:rsid w:val="00F65271"/>
    <w:rsid w:val="00F65EB6"/>
    <w:rsid w:val="00F7026A"/>
    <w:rsid w:val="00F71826"/>
    <w:rsid w:val="00F72B45"/>
    <w:rsid w:val="00F73B00"/>
    <w:rsid w:val="00F74791"/>
    <w:rsid w:val="00F77868"/>
    <w:rsid w:val="00F77A9A"/>
    <w:rsid w:val="00F84737"/>
    <w:rsid w:val="00F87B69"/>
    <w:rsid w:val="00F90C95"/>
    <w:rsid w:val="00F9103E"/>
    <w:rsid w:val="00F91CBD"/>
    <w:rsid w:val="00F93AC5"/>
    <w:rsid w:val="00F93DED"/>
    <w:rsid w:val="00F95923"/>
    <w:rsid w:val="00F96706"/>
    <w:rsid w:val="00F96A39"/>
    <w:rsid w:val="00F96C5B"/>
    <w:rsid w:val="00F97463"/>
    <w:rsid w:val="00FA1363"/>
    <w:rsid w:val="00FA1585"/>
    <w:rsid w:val="00FA1ECA"/>
    <w:rsid w:val="00FA3C2C"/>
    <w:rsid w:val="00FA4DC6"/>
    <w:rsid w:val="00FA5D99"/>
    <w:rsid w:val="00FA7632"/>
    <w:rsid w:val="00FB030E"/>
    <w:rsid w:val="00FB1A87"/>
    <w:rsid w:val="00FB571F"/>
    <w:rsid w:val="00FB6E37"/>
    <w:rsid w:val="00FC0C21"/>
    <w:rsid w:val="00FC42BA"/>
    <w:rsid w:val="00FC5BD6"/>
    <w:rsid w:val="00FC6166"/>
    <w:rsid w:val="00FC6DB8"/>
    <w:rsid w:val="00FC7B52"/>
    <w:rsid w:val="00FD08C1"/>
    <w:rsid w:val="00FD3221"/>
    <w:rsid w:val="00FD3A99"/>
    <w:rsid w:val="00FD4EBB"/>
    <w:rsid w:val="00FD580A"/>
    <w:rsid w:val="00FD62D2"/>
    <w:rsid w:val="00FD7A7A"/>
    <w:rsid w:val="00FE10C1"/>
    <w:rsid w:val="00FE190E"/>
    <w:rsid w:val="00FE20A9"/>
    <w:rsid w:val="00FE48A9"/>
    <w:rsid w:val="00FF08B7"/>
    <w:rsid w:val="00FF0BF4"/>
    <w:rsid w:val="00FF12B8"/>
    <w:rsid w:val="00FF2D0F"/>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8A41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F4F"/>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07B6B"/>
    <w:pPr>
      <w:keepNext/>
      <w:keepLines/>
      <w:tabs>
        <w:tab w:val="left" w:pos="1710"/>
        <w:tab w:val="left" w:pos="1980"/>
      </w:tabs>
      <w:spacing w:before="280" w:after="80"/>
    </w:pPr>
    <w:rPr>
      <w:rFonts w:cstheme="minorHAnsi"/>
      <w:b/>
      <w:color w:val="000000"/>
      <w:sz w:val="20"/>
      <w:szCs w:val="22"/>
    </w:rPr>
  </w:style>
  <w:style w:type="character" w:customStyle="1" w:styleId="CaptionChar">
    <w:name w:val="Caption Char"/>
    <w:aliases w:val="eTRM Caption Char"/>
    <w:link w:val="Caption"/>
    <w:locked/>
    <w:rsid w:val="00407B6B"/>
    <w:rPr>
      <w:rFonts w:ascii="Calibri Light" w:hAnsi="Calibri Light" w:cstheme="minorHAnsi"/>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57D9D"/>
    <w:p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uiPriority w:val="99"/>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A01960"/>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01960"/>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5B47BC"/>
    <w:rPr>
      <w:sz w:val="18"/>
      <w:szCs w:val="18"/>
    </w:rPr>
  </w:style>
  <w:style w:type="paragraph" w:styleId="CommentText">
    <w:name w:val="annotation text"/>
    <w:basedOn w:val="Normal"/>
    <w:link w:val="CommentTextChar"/>
    <w:uiPriority w:val="99"/>
    <w:unhideWhenUsed/>
    <w:rsid w:val="005B47BC"/>
    <w:pPr>
      <w:spacing w:line="240" w:lineRule="auto"/>
    </w:pPr>
    <w:rPr>
      <w:sz w:val="24"/>
    </w:rPr>
  </w:style>
  <w:style w:type="character" w:customStyle="1" w:styleId="CommentTextChar">
    <w:name w:val="Comment Text Char"/>
    <w:basedOn w:val="DefaultParagraphFont"/>
    <w:link w:val="CommentText"/>
    <w:uiPriority w:val="99"/>
    <w:rsid w:val="005B47BC"/>
    <w:rPr>
      <w:rFonts w:ascii="Calibri Light" w:hAnsi="Calibri Light"/>
    </w:rPr>
  </w:style>
  <w:style w:type="paragraph" w:styleId="CommentSubject">
    <w:name w:val="annotation subject"/>
    <w:basedOn w:val="CommentText"/>
    <w:next w:val="CommentText"/>
    <w:link w:val="CommentSubjectChar"/>
    <w:uiPriority w:val="99"/>
    <w:semiHidden/>
    <w:unhideWhenUsed/>
    <w:rsid w:val="005B47BC"/>
    <w:rPr>
      <w:b/>
      <w:bCs/>
      <w:sz w:val="20"/>
      <w:szCs w:val="20"/>
    </w:rPr>
  </w:style>
  <w:style w:type="character" w:customStyle="1" w:styleId="CommentSubjectChar">
    <w:name w:val="Comment Subject Char"/>
    <w:basedOn w:val="CommentTextChar"/>
    <w:link w:val="CommentSubject"/>
    <w:uiPriority w:val="99"/>
    <w:semiHidden/>
    <w:rsid w:val="005B47BC"/>
    <w:rPr>
      <w:rFonts w:ascii="Calibri Light" w:hAnsi="Calibri Light"/>
      <w:b/>
      <w:bCs/>
      <w:sz w:val="20"/>
      <w:szCs w:val="20"/>
    </w:rPr>
  </w:style>
  <w:style w:type="paragraph" w:styleId="BalloonText">
    <w:name w:val="Balloon Text"/>
    <w:basedOn w:val="Normal"/>
    <w:link w:val="BalloonTextChar"/>
    <w:uiPriority w:val="99"/>
    <w:semiHidden/>
    <w:unhideWhenUsed/>
    <w:rsid w:val="005B47BC"/>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47BC"/>
    <w:rPr>
      <w:rFonts w:ascii="Times New Roman" w:hAnsi="Times New Roman" w:cs="Times New Roman"/>
      <w:sz w:val="18"/>
      <w:szCs w:val="18"/>
    </w:rPr>
  </w:style>
  <w:style w:type="table" w:customStyle="1" w:styleId="TableGrid1">
    <w:name w:val="Table Grid1"/>
    <w:basedOn w:val="TableNormal"/>
    <w:next w:val="TableGrid"/>
    <w:rsid w:val="003A464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207DA"/>
    <w:rPr>
      <w:rFonts w:eastAsiaTheme="minorHAnsi"/>
      <w:sz w:val="22"/>
      <w:szCs w:val="22"/>
    </w:rPr>
  </w:style>
  <w:style w:type="paragraph" w:customStyle="1" w:styleId="Reminder">
    <w:name w:val="Reminder"/>
    <w:basedOn w:val="Normal"/>
    <w:link w:val="ReminderChar"/>
    <w:rsid w:val="00D061FF"/>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D061FF"/>
    <w:rPr>
      <w:rFonts w:ascii="Trebuchet MS" w:eastAsia="Times New Roman" w:hAnsi="Trebuchet MS" w:cs="Times New Roman"/>
      <w:i/>
      <w:color w:val="FF0000"/>
      <w:sz w:val="22"/>
    </w:rPr>
  </w:style>
  <w:style w:type="character" w:customStyle="1" w:styleId="UnresolvedMention1">
    <w:name w:val="Unresolved Mention1"/>
    <w:basedOn w:val="DefaultParagraphFont"/>
    <w:uiPriority w:val="99"/>
    <w:rsid w:val="00646D33"/>
    <w:rPr>
      <w:color w:val="605E5C"/>
      <w:shd w:val="clear" w:color="auto" w:fill="E1DFDD"/>
    </w:rPr>
  </w:style>
  <w:style w:type="character" w:styleId="Emphasis">
    <w:name w:val="Emphasis"/>
    <w:basedOn w:val="DefaultParagraphFont"/>
    <w:uiPriority w:val="20"/>
    <w:qFormat/>
    <w:rsid w:val="00CB4CE9"/>
    <w:rPr>
      <w:i/>
      <w:iCs/>
    </w:rPr>
  </w:style>
  <w:style w:type="character" w:styleId="PlaceholderText">
    <w:name w:val="Placeholder Text"/>
    <w:basedOn w:val="DefaultParagraphFont"/>
    <w:uiPriority w:val="99"/>
    <w:semiHidden/>
    <w:rsid w:val="005656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90298">
      <w:bodyDiv w:val="1"/>
      <w:marLeft w:val="0"/>
      <w:marRight w:val="0"/>
      <w:marTop w:val="0"/>
      <w:marBottom w:val="0"/>
      <w:divBdr>
        <w:top w:val="none" w:sz="0" w:space="0" w:color="auto"/>
        <w:left w:val="none" w:sz="0" w:space="0" w:color="auto"/>
        <w:bottom w:val="none" w:sz="0" w:space="0" w:color="auto"/>
        <w:right w:val="none" w:sz="0" w:space="0" w:color="auto"/>
      </w:divBdr>
    </w:div>
    <w:div w:id="486552170">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3660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8.png"/><Relationship Id="rId28"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7.emf"/><Relationship Id="rId27" Type="http://schemas.openxmlformats.org/officeDocument/2006/relationships/image" Target="media/image11.png"/><Relationship Id="rId30"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egulations.doe.gov/certification-data/CCMS-4-Refrigeration_Equipment_-_Commercial__Single_Compartment.html" TargetMode="External"/><Relationship Id="rId2" Type="http://schemas.openxmlformats.org/officeDocument/2006/relationships/hyperlink" Target="https://www.energystar.gov/productfinder/product/certified-commercial-refrigerators-and-freezers/" TargetMode="External"/><Relationship Id="rId1" Type="http://schemas.openxmlformats.org/officeDocument/2006/relationships/hyperlink" Target="https://www.regulations.doe.gov/certification-dat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CE40D-C6E9-49C6-BBBF-EBB5F5B4C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19</Pages>
  <Words>5344</Words>
  <Characters>30461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35734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2</cp:revision>
  <cp:lastPrinted>2019-02-27T04:33:00Z</cp:lastPrinted>
  <dcterms:created xsi:type="dcterms:W3CDTF">2020-11-29T17:04:00Z</dcterms:created>
  <dcterms:modified xsi:type="dcterms:W3CDTF">2020-11-29T17:04:00Z</dcterms:modified>
</cp:coreProperties>
</file>